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
        <w:tblW w:w="0" w:type="auto"/>
        <w:tblLook w:val="0000" w:firstRow="0" w:lastRow="0" w:firstColumn="0" w:lastColumn="0" w:noHBand="0" w:noVBand="0"/>
      </w:tblPr>
      <w:tblGrid>
        <w:gridCol w:w="675"/>
        <w:gridCol w:w="1877"/>
        <w:gridCol w:w="709"/>
        <w:gridCol w:w="2693"/>
      </w:tblGrid>
      <w:tr w:rsidR="00DE70EE" w:rsidRPr="00D442AF" w14:paraId="7F826CA0" w14:textId="77777777" w:rsidTr="004F694C">
        <w:tc>
          <w:tcPr>
            <w:tcW w:w="675" w:type="dxa"/>
            <w:tcBorders>
              <w:top w:val="nil"/>
              <w:left w:val="nil"/>
              <w:bottom w:val="nil"/>
              <w:right w:val="nil"/>
            </w:tcBorders>
          </w:tcPr>
          <w:p w14:paraId="60BC04F2" w14:textId="77777777" w:rsidR="00DE70EE" w:rsidRPr="00D442AF" w:rsidRDefault="00DE70EE" w:rsidP="004F694C">
            <w:pPr>
              <w:tabs>
                <w:tab w:val="left" w:pos="360"/>
              </w:tabs>
              <w:autoSpaceDE w:val="0"/>
              <w:autoSpaceDN w:val="0"/>
              <w:adjustRightInd w:val="0"/>
              <w:ind w:firstLine="0"/>
              <w:jc w:val="left"/>
              <w:rPr>
                <w:rFonts w:eastAsia="Times New Roman" w:cs="Times New Roman"/>
                <w:iCs/>
                <w:szCs w:val="20"/>
              </w:rPr>
            </w:pPr>
            <w:r w:rsidRPr="00D442AF">
              <w:rPr>
                <w:rFonts w:eastAsia="Times New Roman" w:cs="Times New Roman"/>
                <w:iCs/>
                <w:szCs w:val="20"/>
              </w:rPr>
              <w:t>Rīgā</w:t>
            </w:r>
          </w:p>
        </w:tc>
        <w:tc>
          <w:tcPr>
            <w:tcW w:w="1877" w:type="dxa"/>
            <w:tcBorders>
              <w:top w:val="nil"/>
              <w:left w:val="nil"/>
              <w:bottom w:val="single" w:sz="4" w:space="0" w:color="auto"/>
              <w:right w:val="nil"/>
            </w:tcBorders>
          </w:tcPr>
          <w:p w14:paraId="2816A396" w14:textId="5B073A2C" w:rsidR="00DE70EE" w:rsidRPr="00D442AF" w:rsidRDefault="00DE70EE" w:rsidP="004F694C">
            <w:pPr>
              <w:tabs>
                <w:tab w:val="left" w:pos="3960"/>
              </w:tabs>
              <w:autoSpaceDE w:val="0"/>
              <w:autoSpaceDN w:val="0"/>
              <w:adjustRightInd w:val="0"/>
              <w:ind w:firstLine="0"/>
              <w:jc w:val="left"/>
              <w:rPr>
                <w:rFonts w:eastAsia="Times New Roman" w:cs="Times New Roman"/>
                <w:iCs/>
                <w:szCs w:val="24"/>
              </w:rPr>
            </w:pPr>
            <w:r w:rsidRPr="00D442AF">
              <w:rPr>
                <w:rFonts w:eastAsia="Times New Roman" w:cs="Times New Roman"/>
                <w:iCs/>
                <w:szCs w:val="24"/>
              </w:rPr>
              <w:fldChar w:fldCharType="begin">
                <w:ffData>
                  <w:name w:val="reg_dat"/>
                  <w:enabled/>
                  <w:calcOnExit w:val="0"/>
                  <w:textInput>
                    <w:default w:val="                      "/>
                  </w:textInput>
                </w:ffData>
              </w:fldChar>
            </w:r>
            <w:bookmarkStart w:id="0" w:name="reg_dat"/>
            <w:r w:rsidRPr="00D442AF">
              <w:rPr>
                <w:rFonts w:eastAsia="Times New Roman" w:cs="Times New Roman"/>
                <w:iCs/>
                <w:szCs w:val="24"/>
              </w:rPr>
              <w:instrText xml:space="preserve"> FORMTEXT </w:instrText>
            </w:r>
            <w:r w:rsidRPr="00D442AF">
              <w:rPr>
                <w:rFonts w:eastAsia="Times New Roman" w:cs="Times New Roman"/>
                <w:iCs/>
                <w:szCs w:val="24"/>
              </w:rPr>
            </w:r>
            <w:r w:rsidRPr="00D442AF">
              <w:rPr>
                <w:rFonts w:eastAsia="Times New Roman" w:cs="Times New Roman"/>
                <w:iCs/>
                <w:szCs w:val="24"/>
              </w:rPr>
              <w:fldChar w:fldCharType="separate"/>
            </w:r>
            <w:r w:rsidR="000E32FF">
              <w:rPr>
                <w:rFonts w:eastAsia="Times New Roman" w:cs="Times New Roman"/>
                <w:iCs/>
                <w:szCs w:val="24"/>
              </w:rPr>
              <w:t>27.04.2022</w:t>
            </w:r>
            <w:r w:rsidRPr="00D442AF">
              <w:rPr>
                <w:rFonts w:eastAsia="Times New Roman" w:cs="Times New Roman"/>
                <w:iCs/>
                <w:szCs w:val="24"/>
              </w:rPr>
              <w:fldChar w:fldCharType="end"/>
            </w:r>
            <w:bookmarkEnd w:id="0"/>
          </w:p>
        </w:tc>
        <w:tc>
          <w:tcPr>
            <w:tcW w:w="709" w:type="dxa"/>
            <w:tcBorders>
              <w:top w:val="nil"/>
              <w:left w:val="nil"/>
              <w:bottom w:val="nil"/>
              <w:right w:val="nil"/>
            </w:tcBorders>
          </w:tcPr>
          <w:p w14:paraId="078E8C02" w14:textId="77777777" w:rsidR="00DE70EE" w:rsidRPr="00D442AF" w:rsidRDefault="00DE70EE" w:rsidP="004F694C">
            <w:pPr>
              <w:tabs>
                <w:tab w:val="left" w:pos="360"/>
                <w:tab w:val="left" w:pos="3960"/>
              </w:tabs>
              <w:autoSpaceDE w:val="0"/>
              <w:autoSpaceDN w:val="0"/>
              <w:adjustRightInd w:val="0"/>
              <w:ind w:firstLine="0"/>
              <w:jc w:val="right"/>
              <w:rPr>
                <w:rFonts w:eastAsia="Times New Roman" w:cs="Times New Roman"/>
                <w:iCs/>
                <w:szCs w:val="24"/>
              </w:rPr>
            </w:pPr>
            <w:r w:rsidRPr="00D442AF">
              <w:rPr>
                <w:rFonts w:eastAsia="Times New Roman" w:cs="Times New Roman"/>
                <w:iCs/>
                <w:szCs w:val="24"/>
              </w:rPr>
              <w:t>Nr.</w:t>
            </w:r>
          </w:p>
        </w:tc>
        <w:tc>
          <w:tcPr>
            <w:tcW w:w="2693" w:type="dxa"/>
            <w:tcBorders>
              <w:top w:val="nil"/>
              <w:left w:val="nil"/>
              <w:bottom w:val="single" w:sz="4" w:space="0" w:color="auto"/>
              <w:right w:val="nil"/>
            </w:tcBorders>
          </w:tcPr>
          <w:p w14:paraId="029DEC64" w14:textId="7CA36542" w:rsidR="00DE70EE" w:rsidRPr="00D442AF" w:rsidRDefault="00DE70EE" w:rsidP="004F694C">
            <w:pPr>
              <w:tabs>
                <w:tab w:val="left" w:pos="360"/>
                <w:tab w:val="left" w:pos="3960"/>
              </w:tabs>
              <w:autoSpaceDE w:val="0"/>
              <w:autoSpaceDN w:val="0"/>
              <w:adjustRightInd w:val="0"/>
              <w:ind w:right="37" w:firstLine="0"/>
              <w:jc w:val="left"/>
              <w:rPr>
                <w:rFonts w:eastAsia="Times New Roman" w:cs="Times New Roman"/>
                <w:iCs/>
                <w:szCs w:val="24"/>
              </w:rPr>
            </w:pPr>
            <w:r w:rsidRPr="00D442AF">
              <w:rPr>
                <w:rFonts w:eastAsia="Times New Roman" w:cs="Times New Roman"/>
                <w:iCs/>
                <w:szCs w:val="24"/>
              </w:rPr>
              <w:fldChar w:fldCharType="begin">
                <w:ffData>
                  <w:name w:val="lietas_nr"/>
                  <w:enabled/>
                  <w:calcOnExit w:val="0"/>
                  <w:textInput>
                    <w:default w:val="                "/>
                  </w:textInput>
                </w:ffData>
              </w:fldChar>
            </w:r>
            <w:bookmarkStart w:id="1" w:name="lietas_nr"/>
            <w:r w:rsidRPr="00D442AF">
              <w:rPr>
                <w:rFonts w:eastAsia="Times New Roman" w:cs="Times New Roman"/>
                <w:iCs/>
                <w:szCs w:val="24"/>
              </w:rPr>
              <w:instrText xml:space="preserve"> FORMTEXT </w:instrText>
            </w:r>
            <w:r w:rsidRPr="00D442AF">
              <w:rPr>
                <w:rFonts w:eastAsia="Times New Roman" w:cs="Times New Roman"/>
                <w:iCs/>
                <w:szCs w:val="24"/>
              </w:rPr>
            </w:r>
            <w:r w:rsidRPr="00D442AF">
              <w:rPr>
                <w:rFonts w:eastAsia="Times New Roman" w:cs="Times New Roman"/>
                <w:iCs/>
                <w:szCs w:val="24"/>
              </w:rPr>
              <w:fldChar w:fldCharType="separate"/>
            </w:r>
            <w:r w:rsidR="005E282B">
              <w:rPr>
                <w:rFonts w:eastAsia="Times New Roman" w:cs="Times New Roman"/>
                <w:iCs/>
                <w:szCs w:val="24"/>
              </w:rPr>
              <w:t>3.3.</w:t>
            </w:r>
            <w:r w:rsidRPr="00D442AF">
              <w:rPr>
                <w:rFonts w:eastAsia="Times New Roman" w:cs="Times New Roman"/>
                <w:iCs/>
                <w:szCs w:val="24"/>
              </w:rPr>
              <w:fldChar w:fldCharType="end"/>
            </w:r>
            <w:bookmarkEnd w:id="1"/>
            <w:r w:rsidRPr="00D442AF">
              <w:rPr>
                <w:rFonts w:eastAsia="Times New Roman" w:cs="Times New Roman"/>
                <w:iCs/>
                <w:szCs w:val="24"/>
              </w:rPr>
              <w:t xml:space="preserve"> / </w:t>
            </w:r>
            <w:r w:rsidRPr="00D442AF">
              <w:rPr>
                <w:rFonts w:eastAsia="Times New Roman" w:cs="Times New Roman"/>
                <w:iCs/>
                <w:szCs w:val="24"/>
              </w:rPr>
              <w:fldChar w:fldCharType="begin">
                <w:ffData>
                  <w:name w:val="reg_num"/>
                  <w:enabled/>
                  <w:calcOnExit w:val="0"/>
                  <w:textInput>
                    <w:default w:val="            "/>
                  </w:textInput>
                </w:ffData>
              </w:fldChar>
            </w:r>
            <w:bookmarkStart w:id="2" w:name="reg_num"/>
            <w:r w:rsidRPr="00D442AF">
              <w:rPr>
                <w:rFonts w:eastAsia="Times New Roman" w:cs="Times New Roman"/>
                <w:iCs/>
                <w:szCs w:val="24"/>
              </w:rPr>
              <w:instrText xml:space="preserve"> FORMTEXT </w:instrText>
            </w:r>
            <w:r w:rsidRPr="00D442AF">
              <w:rPr>
                <w:rFonts w:eastAsia="Times New Roman" w:cs="Times New Roman"/>
                <w:iCs/>
                <w:szCs w:val="24"/>
              </w:rPr>
            </w:r>
            <w:r w:rsidRPr="00D442AF">
              <w:rPr>
                <w:rFonts w:eastAsia="Times New Roman" w:cs="Times New Roman"/>
                <w:iCs/>
                <w:szCs w:val="24"/>
              </w:rPr>
              <w:fldChar w:fldCharType="separate"/>
            </w:r>
            <w:r w:rsidR="000E32FF">
              <w:rPr>
                <w:rFonts w:eastAsia="Times New Roman" w:cs="Times New Roman"/>
                <w:iCs/>
                <w:szCs w:val="24"/>
              </w:rPr>
              <w:t>6505</w:t>
            </w:r>
            <w:r w:rsidRPr="00D442AF">
              <w:rPr>
                <w:rFonts w:eastAsia="Times New Roman" w:cs="Times New Roman"/>
                <w:iCs/>
                <w:szCs w:val="24"/>
              </w:rPr>
              <w:fldChar w:fldCharType="end"/>
            </w:r>
            <w:bookmarkEnd w:id="2"/>
          </w:p>
        </w:tc>
      </w:tr>
    </w:tbl>
    <w:p w14:paraId="498E2E16" w14:textId="77777777" w:rsidR="00DE70EE" w:rsidRPr="00D442AF" w:rsidRDefault="00DE70EE" w:rsidP="00DE70EE">
      <w:pPr>
        <w:widowControl w:val="0"/>
        <w:tabs>
          <w:tab w:val="left" w:leader="underscore" w:pos="3326"/>
        </w:tabs>
        <w:autoSpaceDE w:val="0"/>
        <w:autoSpaceDN w:val="0"/>
        <w:adjustRightInd w:val="0"/>
        <w:spacing w:before="120" w:after="240"/>
        <w:ind w:left="1620" w:firstLine="540"/>
        <w:jc w:val="left"/>
        <w:rPr>
          <w:rFonts w:eastAsia="Times New Roman" w:cs="Times New Roman"/>
          <w:szCs w:val="20"/>
        </w:rPr>
      </w:pPr>
      <w:bookmarkStart w:id="3" w:name="_Hlk27492959"/>
    </w:p>
    <w:p w14:paraId="6E8AEB6A"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6276312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3284A5F0" w14:textId="77777777" w:rsidR="00597E54" w:rsidRDefault="00597E54" w:rsidP="00597E54">
      <w:pPr>
        <w:spacing w:after="160" w:line="256" w:lineRule="auto"/>
        <w:jc w:val="right"/>
        <w:rPr>
          <w:rFonts w:cs="Times New Roman"/>
          <w:szCs w:val="24"/>
        </w:rPr>
      </w:pPr>
      <w:bookmarkStart w:id="4" w:name="_Hlk101956779"/>
      <w:r>
        <w:rPr>
          <w:rFonts w:cs="Times New Roman"/>
          <w:szCs w:val="24"/>
        </w:rPr>
        <w:t>Sadarbības partneriem pēc pievienotā saraksta</w:t>
      </w:r>
    </w:p>
    <w:p w14:paraId="25DEC5B3" w14:textId="77777777" w:rsidR="00597E54" w:rsidRDefault="00597E54" w:rsidP="00597E54">
      <w:pPr>
        <w:spacing w:after="160" w:line="256" w:lineRule="auto"/>
        <w:jc w:val="right"/>
        <w:rPr>
          <w:rFonts w:cs="Times New Roman"/>
          <w:szCs w:val="24"/>
        </w:rPr>
      </w:pPr>
    </w:p>
    <w:p w14:paraId="6E5331E0" w14:textId="77777777" w:rsidR="00597E54" w:rsidRDefault="00597E54" w:rsidP="00597E54">
      <w:pPr>
        <w:spacing w:after="160" w:line="256" w:lineRule="auto"/>
        <w:jc w:val="right"/>
        <w:rPr>
          <w:rFonts w:cs="Times New Roman"/>
          <w:szCs w:val="24"/>
        </w:rPr>
      </w:pPr>
    </w:p>
    <w:p w14:paraId="08AD5404" w14:textId="77777777" w:rsidR="00597E54" w:rsidRDefault="00597E54" w:rsidP="00597E54">
      <w:pPr>
        <w:spacing w:after="160" w:line="256" w:lineRule="auto"/>
        <w:rPr>
          <w:rFonts w:cs="Times New Roman"/>
          <w:szCs w:val="24"/>
        </w:rPr>
      </w:pPr>
      <w:r>
        <w:rPr>
          <w:rFonts w:cs="Times New Roman"/>
          <w:szCs w:val="24"/>
        </w:rPr>
        <w:t>Par būvizmaksu pieaugumu un līgumcenas pārskatīšanu</w:t>
      </w:r>
    </w:p>
    <w:p w14:paraId="7C7CD7D2" w14:textId="77777777" w:rsidR="00597E54" w:rsidRDefault="00597E54" w:rsidP="00597E54">
      <w:pPr>
        <w:widowControl w:val="0"/>
        <w:autoSpaceDE w:val="0"/>
        <w:autoSpaceDN w:val="0"/>
        <w:adjustRightInd w:val="0"/>
        <w:ind w:firstLine="0"/>
        <w:rPr>
          <w:rFonts w:eastAsia="Times New Roman" w:cs="Times New Roman"/>
          <w:iCs/>
          <w:szCs w:val="24"/>
        </w:rPr>
      </w:pPr>
    </w:p>
    <w:p w14:paraId="5C70803C" w14:textId="77777777" w:rsidR="00597E54" w:rsidRDefault="00597E54" w:rsidP="00597E54">
      <w:pPr>
        <w:spacing w:after="160" w:line="256" w:lineRule="auto"/>
        <w:rPr>
          <w:rFonts w:cs="Times New Roman"/>
          <w:szCs w:val="24"/>
        </w:rPr>
      </w:pPr>
    </w:p>
    <w:p w14:paraId="62F45BD4" w14:textId="77777777" w:rsidR="00597E54" w:rsidRDefault="00597E54" w:rsidP="00597E54">
      <w:pPr>
        <w:spacing w:after="160" w:line="252" w:lineRule="auto"/>
        <w:rPr>
          <w:rFonts w:cs="Times New Roman"/>
          <w:sz w:val="22"/>
        </w:rPr>
      </w:pPr>
      <w:r>
        <w:rPr>
          <w:rFonts w:cs="Times New Roman"/>
        </w:rPr>
        <w:t xml:space="preserve">VSIA “Latvijas Valsts ceļi” (turpmāk – LVC) atkārtoti ir saņemtas sadarbības partneru vēstules par būvizmaksu pieaugumu, kas apgrūtina būvdarbu līgumu izpildes iespējas un būvdarbu sezonas uzsākšanu, un aicinājumu </w:t>
      </w:r>
      <w:r>
        <w:rPr>
          <w:rFonts w:cs="Times New Roman"/>
          <w:szCs w:val="24"/>
        </w:rPr>
        <w:t xml:space="preserve">vienoties par līguma cenas pārskatīšanu un sadārdzinājuma kompensēšanu. </w:t>
      </w:r>
    </w:p>
    <w:p w14:paraId="5373D2A5" w14:textId="77777777" w:rsidR="00597E54" w:rsidRPr="008238A9" w:rsidRDefault="00597E54" w:rsidP="00597E54">
      <w:pPr>
        <w:ind w:firstLine="0"/>
        <w:rPr>
          <w:rFonts w:cs="Times New Roman"/>
          <w:szCs w:val="24"/>
        </w:rPr>
      </w:pPr>
      <w:r>
        <w:rPr>
          <w:rFonts w:cs="Times New Roman"/>
          <w:szCs w:val="24"/>
        </w:rPr>
        <w:t>LVC</w:t>
      </w:r>
      <w:r w:rsidRPr="008238A9">
        <w:rPr>
          <w:rFonts w:cs="Times New Roman"/>
          <w:szCs w:val="24"/>
        </w:rPr>
        <w:t xml:space="preserve"> ir izvērtējuši:</w:t>
      </w:r>
    </w:p>
    <w:p w14:paraId="1D64DCBC" w14:textId="77777777" w:rsidR="00597E54" w:rsidRPr="008238A9" w:rsidRDefault="00597E54" w:rsidP="00597E54">
      <w:pPr>
        <w:pStyle w:val="ListParagraph"/>
        <w:numPr>
          <w:ilvl w:val="0"/>
          <w:numId w:val="1"/>
        </w:numPr>
        <w:rPr>
          <w:rFonts w:ascii="Times New Roman" w:hAnsi="Times New Roman" w:cs="Times New Roman"/>
          <w:sz w:val="24"/>
          <w:szCs w:val="24"/>
        </w:rPr>
      </w:pPr>
      <w:r w:rsidRPr="008238A9">
        <w:rPr>
          <w:rFonts w:ascii="Times New Roman" w:hAnsi="Times New Roman" w:cs="Times New Roman"/>
          <w:sz w:val="24"/>
          <w:szCs w:val="24"/>
        </w:rPr>
        <w:t>Jūsu lūgumu pārskatīt piedāvātās līgumcenas dēļ krīzes, kas radusies dēļ Krievijas iebrukuma Ukrainā;</w:t>
      </w:r>
    </w:p>
    <w:p w14:paraId="4174D524" w14:textId="77777777" w:rsidR="00597E54" w:rsidRPr="008238A9" w:rsidRDefault="00597E54" w:rsidP="00597E54">
      <w:pPr>
        <w:pStyle w:val="ListParagraph"/>
        <w:numPr>
          <w:ilvl w:val="0"/>
          <w:numId w:val="1"/>
        </w:numPr>
        <w:rPr>
          <w:rFonts w:ascii="Times New Roman" w:hAnsi="Times New Roman" w:cs="Times New Roman"/>
          <w:sz w:val="24"/>
          <w:szCs w:val="24"/>
        </w:rPr>
      </w:pPr>
      <w:r w:rsidRPr="008238A9">
        <w:rPr>
          <w:rFonts w:ascii="Times New Roman" w:hAnsi="Times New Roman" w:cs="Times New Roman"/>
          <w:sz w:val="24"/>
          <w:szCs w:val="24"/>
        </w:rPr>
        <w:t>Iepirkumu uzraudzības biroja skaidrojumu par līgumu vadību krīzes apstākļos;</w:t>
      </w:r>
    </w:p>
    <w:p w14:paraId="3A218C70" w14:textId="77777777" w:rsidR="00597E54" w:rsidRPr="008238A9" w:rsidRDefault="00597E54" w:rsidP="00597E54">
      <w:pPr>
        <w:pStyle w:val="ListParagraph"/>
        <w:numPr>
          <w:ilvl w:val="0"/>
          <w:numId w:val="1"/>
        </w:numPr>
        <w:rPr>
          <w:rFonts w:ascii="Times New Roman" w:hAnsi="Times New Roman" w:cs="Times New Roman"/>
          <w:sz w:val="24"/>
          <w:szCs w:val="24"/>
        </w:rPr>
      </w:pPr>
      <w:r w:rsidRPr="008238A9">
        <w:rPr>
          <w:rFonts w:ascii="Times New Roman" w:hAnsi="Times New Roman" w:cs="Times New Roman"/>
          <w:sz w:val="24"/>
          <w:szCs w:val="24"/>
        </w:rPr>
        <w:t>uzņemto saistību apmēru un savas finanšu iespējas tās pildīt;</w:t>
      </w:r>
    </w:p>
    <w:p w14:paraId="34156DAB" w14:textId="77777777" w:rsidR="00597E54" w:rsidRPr="008238A9" w:rsidRDefault="00597E54" w:rsidP="00597E54">
      <w:pPr>
        <w:pStyle w:val="ListParagraph"/>
        <w:numPr>
          <w:ilvl w:val="0"/>
          <w:numId w:val="1"/>
        </w:numPr>
        <w:rPr>
          <w:rFonts w:ascii="Times New Roman" w:hAnsi="Times New Roman" w:cs="Times New Roman"/>
          <w:sz w:val="24"/>
          <w:szCs w:val="24"/>
        </w:rPr>
      </w:pPr>
      <w:r w:rsidRPr="008238A9">
        <w:rPr>
          <w:rFonts w:ascii="Times New Roman" w:hAnsi="Times New Roman" w:cs="Times New Roman"/>
          <w:sz w:val="24"/>
          <w:szCs w:val="24"/>
        </w:rPr>
        <w:t>izejmateriālu cenu pieaugumu un plānoto cenu attīstību.</w:t>
      </w:r>
    </w:p>
    <w:p w14:paraId="351D0FD0" w14:textId="77777777" w:rsidR="00597E54" w:rsidRDefault="00597E54" w:rsidP="00597E54">
      <w:pPr>
        <w:rPr>
          <w:rFonts w:cs="Times New Roman"/>
          <w:szCs w:val="24"/>
        </w:rPr>
      </w:pPr>
      <w:r>
        <w:rPr>
          <w:rFonts w:cs="Times New Roman"/>
          <w:szCs w:val="24"/>
        </w:rPr>
        <w:t xml:space="preserve">Pamatojoties uz iepriekšminēto, informējam, ka LVC sadarbībā ar biedrību “Latvijas ceļu būvētājs” šobrīd konceptuāli ir vienojusies par iespēju veikt atsevišķu būvmateriālu (tērauds un bitumens) vienības cenu pārskatīšanu līgumiem, kam piedāvājumi ir atvērti līdz š.g. 24. februārim. Bitumena cenu izmaiņu ietekme tiks pārskatīta asfaltbetona izbūves un virsmas apstrādes darbu pozīcijās, tērauda cenu izmaiņu ietekme tiks pārskatīta stiegrojuma izbūves un tērauda barjeru uzstādīšanas darbu pozīcijās. Tāpat šobrīd tiek turpinātas diskusijas par dīzeļdegvielas sadārdzinājuma ievērtēšanu noteiktās darbu pozīcijās. </w:t>
      </w:r>
    </w:p>
    <w:p w14:paraId="36F47E79" w14:textId="77777777" w:rsidR="00597E54" w:rsidRDefault="00597E54" w:rsidP="00597E54">
      <w:pPr>
        <w:rPr>
          <w:rFonts w:cs="Times New Roman"/>
          <w:szCs w:val="24"/>
        </w:rPr>
      </w:pPr>
      <w:r>
        <w:rPr>
          <w:rFonts w:cs="Times New Roman"/>
          <w:szCs w:val="24"/>
        </w:rPr>
        <w:t>Attiecībā uz termiņa pagarinājuma iespējamību, informējam, ka LVC izskatīs termiņa pagarinājuma iesniegumus, gadījumos, kad dokumentāli tiks pamatots, ka līguma izpilde nav iespējama līgumā noteiktā termiņā, dēļ ģeopolitiskās situācijas radītās izejmateriālu un preču nepieejamības vai piegāžu kavējumiem, par laiku, kas nepārsniedz to, kas nepieciešams attiecīgo piegāžu saņemšanai, ievērojot arī kavējumu pamatoto ietekmi uz saistītajiem procesiem.</w:t>
      </w:r>
    </w:p>
    <w:p w14:paraId="5CA4AE9D" w14:textId="77777777" w:rsidR="00597E54" w:rsidRDefault="00597E54" w:rsidP="00597E54">
      <w:pPr>
        <w:rPr>
          <w:rFonts w:cs="Times New Roman"/>
          <w:szCs w:val="24"/>
        </w:rPr>
      </w:pPr>
      <w:r>
        <w:rPr>
          <w:rFonts w:cs="Times New Roman"/>
          <w:szCs w:val="24"/>
        </w:rPr>
        <w:t xml:space="preserve">LVC informē, ka līgumcenas vienības cenu pārskatīšana un līguma grozījumu slēgšana tiks uzsākta, nekavējoties pēc gala lēmuma pieņemšanas un saskaņošanas saistītās institūcijās, par ko sniegsim atbildi, norādot konkrētus pielietotos sadārdzinājuma kompensēšanas indeksus. Darba pozīciju vienības cenu pārskatīšanas rezultātā līgumcenas pieaugums netiks pārsniegts vairāk kā 15% no sākotnējās līgumcenas, jebkāds reālais sadārdzinājums virs 15% būs paša būvnieka risks. </w:t>
      </w:r>
    </w:p>
    <w:p w14:paraId="34CBA1E4" w14:textId="77777777" w:rsidR="00597E54" w:rsidRPr="00353E12" w:rsidRDefault="00597E54" w:rsidP="00597E54">
      <w:pPr>
        <w:rPr>
          <w:rFonts w:cs="Times New Roman"/>
        </w:rPr>
      </w:pPr>
      <w:r>
        <w:rPr>
          <w:rFonts w:cs="Times New Roman"/>
        </w:rPr>
        <w:t>Ga</w:t>
      </w:r>
      <w:r w:rsidRPr="00353E12">
        <w:rPr>
          <w:rFonts w:cs="Times New Roman"/>
        </w:rPr>
        <w:t xml:space="preserve">dījumā, ja nepiekrītat ierosinātajiem līguma cenu izmaiņu grozījumiem, jo nevarat izpildīt līgumu par piedāvātajām līgumcenām dēļ izejmateriālu cenu neparedzēta pieauguma, LVC kā pasūtītājs </w:t>
      </w:r>
      <w:r>
        <w:rPr>
          <w:rFonts w:cs="Times New Roman"/>
        </w:rPr>
        <w:t xml:space="preserve">pieļaus </w:t>
      </w:r>
      <w:r w:rsidRPr="00353E12">
        <w:rPr>
          <w:rFonts w:cs="Times New Roman"/>
        </w:rPr>
        <w:t>atkāpties no līguma bez soda sankcijām, t.i. netiks piemērots līgumsods un LVC neprasīs atlīdzību no līguma saistību izpildes garantijas</w:t>
      </w:r>
      <w:r>
        <w:rPr>
          <w:rFonts w:cs="Times New Roman"/>
        </w:rPr>
        <w:t xml:space="preserve">, </w:t>
      </w:r>
      <w:r w:rsidRPr="00130C72">
        <w:rPr>
          <w:rFonts w:cs="Times New Roman"/>
          <w:u w:val="single"/>
        </w:rPr>
        <w:t>tikai līgumos, kur darbu izpilde nav uzsākta</w:t>
      </w:r>
      <w:r w:rsidRPr="00353E12">
        <w:rPr>
          <w:rFonts w:cs="Times New Roman"/>
        </w:rPr>
        <w:t>.</w:t>
      </w:r>
      <w:r>
        <w:rPr>
          <w:rFonts w:cs="Times New Roman"/>
        </w:rPr>
        <w:t xml:space="preserve"> Līgumos, kur darbu izpilde ir uzsāktu, līguma izbeigšana iespējama līgumā noteiktā kārtībā.</w:t>
      </w:r>
    </w:p>
    <w:p w14:paraId="030E6E0A" w14:textId="77777777" w:rsidR="00597E54" w:rsidRDefault="00597E54" w:rsidP="00597E54">
      <w:pPr>
        <w:rPr>
          <w:rFonts w:cs="Times New Roman"/>
          <w:szCs w:val="24"/>
        </w:rPr>
      </w:pPr>
      <w:r>
        <w:rPr>
          <w:rFonts w:cs="Times New Roman"/>
          <w:szCs w:val="24"/>
        </w:rPr>
        <w:lastRenderedPageBreak/>
        <w:t xml:space="preserve">Ar šo sniedzam vienotu atbildi uz visiem sadarbības partneru saņemtajiem iesniegumiem par nepieciešamām izmaiņām līgumā, un norādām, ka no LVC puses vienības cenu pārskatīšanā tiks nodrošināta  vienota, pārbaudāma un caurskatāma  pieeja visiem līgumu partneriem. </w:t>
      </w:r>
      <w:bookmarkEnd w:id="4"/>
    </w:p>
    <w:p w14:paraId="6B487185"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5537D8AD"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5A804B4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p w14:paraId="06D4A1E3" w14:textId="77777777" w:rsidR="00DE70EE" w:rsidRDefault="00DE70EE" w:rsidP="00004AD6">
      <w:pPr>
        <w:widowControl w:val="0"/>
        <w:autoSpaceDE w:val="0"/>
        <w:autoSpaceDN w:val="0"/>
        <w:adjustRightInd w:val="0"/>
        <w:ind w:firstLine="0"/>
        <w:rPr>
          <w:rFonts w:eastAsia="Times New Roman" w:cs="Times New Roman"/>
          <w:iCs/>
          <w:szCs w:val="24"/>
        </w:rPr>
      </w:pPr>
    </w:p>
    <w:p w14:paraId="265332B2" w14:textId="77777777" w:rsidR="00DE70EE" w:rsidRDefault="00DE70EE" w:rsidP="00004AD6">
      <w:pPr>
        <w:widowControl w:val="0"/>
        <w:autoSpaceDE w:val="0"/>
        <w:autoSpaceDN w:val="0"/>
        <w:adjustRightInd w:val="0"/>
        <w:ind w:firstLine="0"/>
        <w:rPr>
          <w:rFonts w:eastAsia="Times New Roman" w:cs="Times New Roman"/>
          <w:iCs/>
          <w:szCs w:val="24"/>
        </w:rPr>
      </w:pPr>
    </w:p>
    <w:p w14:paraId="60CC971A" w14:textId="77777777" w:rsidR="00DE70EE" w:rsidRDefault="00DE70EE" w:rsidP="00004AD6">
      <w:pPr>
        <w:widowControl w:val="0"/>
        <w:autoSpaceDE w:val="0"/>
        <w:autoSpaceDN w:val="0"/>
        <w:adjustRightInd w:val="0"/>
        <w:ind w:firstLine="0"/>
        <w:rPr>
          <w:rFonts w:eastAsia="Times New Roman" w:cs="Times New Roman"/>
          <w:iCs/>
          <w:szCs w:val="24"/>
        </w:rPr>
      </w:pPr>
    </w:p>
    <w:p w14:paraId="23CDA261" w14:textId="77777777" w:rsidR="00DE70EE" w:rsidRDefault="00DE70EE" w:rsidP="00004AD6">
      <w:pPr>
        <w:widowControl w:val="0"/>
        <w:autoSpaceDE w:val="0"/>
        <w:autoSpaceDN w:val="0"/>
        <w:adjustRightInd w:val="0"/>
        <w:ind w:firstLine="0"/>
        <w:rPr>
          <w:rFonts w:eastAsia="Times New Roman" w:cs="Times New Roman"/>
          <w:iCs/>
          <w:szCs w:val="24"/>
        </w:rPr>
      </w:pPr>
    </w:p>
    <w:p w14:paraId="22DB263A" w14:textId="77777777" w:rsidR="00DE70EE" w:rsidRDefault="00DE70EE" w:rsidP="00004AD6">
      <w:pPr>
        <w:widowControl w:val="0"/>
        <w:autoSpaceDE w:val="0"/>
        <w:autoSpaceDN w:val="0"/>
        <w:adjustRightInd w:val="0"/>
        <w:ind w:firstLine="0"/>
        <w:rPr>
          <w:rFonts w:eastAsia="Times New Roman" w:cs="Times New Roman"/>
          <w:iCs/>
          <w:szCs w:val="24"/>
        </w:rPr>
      </w:pPr>
    </w:p>
    <w:p w14:paraId="4C564162" w14:textId="77777777" w:rsidR="00DE70EE" w:rsidRDefault="00DE70EE" w:rsidP="00004AD6">
      <w:pPr>
        <w:widowControl w:val="0"/>
        <w:autoSpaceDE w:val="0"/>
        <w:autoSpaceDN w:val="0"/>
        <w:adjustRightInd w:val="0"/>
        <w:ind w:firstLine="0"/>
        <w:rPr>
          <w:rFonts w:eastAsia="Times New Roman" w:cs="Times New Roman"/>
          <w:iCs/>
          <w:szCs w:val="24"/>
        </w:rPr>
      </w:pPr>
    </w:p>
    <w:p w14:paraId="24171CED" w14:textId="77777777" w:rsidR="00DE70EE" w:rsidRDefault="00DE70EE" w:rsidP="00004AD6">
      <w:pPr>
        <w:widowControl w:val="0"/>
        <w:autoSpaceDE w:val="0"/>
        <w:autoSpaceDN w:val="0"/>
        <w:adjustRightInd w:val="0"/>
        <w:ind w:firstLine="0"/>
        <w:rPr>
          <w:rFonts w:eastAsia="Times New Roman" w:cs="Times New Roman"/>
          <w:iCs/>
          <w:szCs w:val="24"/>
        </w:rPr>
      </w:pPr>
    </w:p>
    <w:p w14:paraId="25BD7F26" w14:textId="77777777" w:rsidR="00DE70EE" w:rsidRPr="000A4077" w:rsidRDefault="00DE70EE" w:rsidP="00004AD6">
      <w:pPr>
        <w:widowControl w:val="0"/>
        <w:autoSpaceDE w:val="0"/>
        <w:autoSpaceDN w:val="0"/>
        <w:adjustRightInd w:val="0"/>
        <w:ind w:firstLine="0"/>
        <w:rPr>
          <w:rFonts w:eastAsia="Times New Roman" w:cs="Times New Roman"/>
          <w:iCs/>
          <w:szCs w:val="24"/>
        </w:rPr>
      </w:pPr>
    </w:p>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3544"/>
      </w:tblGrid>
      <w:tr w:rsidR="00DE70EE" w:rsidRPr="000A4077" w14:paraId="2E1B3672" w14:textId="77777777" w:rsidTr="004F694C">
        <w:tc>
          <w:tcPr>
            <w:tcW w:w="4395" w:type="dxa"/>
          </w:tcPr>
          <w:p w14:paraId="71C3A07B" w14:textId="4498245C" w:rsidR="00DE70EE" w:rsidRPr="000A4077" w:rsidRDefault="005E282B" w:rsidP="004F694C">
            <w:pPr>
              <w:widowControl w:val="0"/>
              <w:autoSpaceDE w:val="0"/>
              <w:autoSpaceDN w:val="0"/>
              <w:adjustRightInd w:val="0"/>
              <w:rPr>
                <w:i/>
                <w:iCs/>
                <w:sz w:val="24"/>
                <w:szCs w:val="24"/>
              </w:rPr>
            </w:pPr>
            <w:r>
              <w:rPr>
                <w:iCs/>
                <w:sz w:val="24"/>
                <w:szCs w:val="24"/>
              </w:rPr>
              <w:t>Valdes priekšsēdētājs</w:t>
            </w:r>
          </w:p>
        </w:tc>
        <w:tc>
          <w:tcPr>
            <w:tcW w:w="1984" w:type="dxa"/>
          </w:tcPr>
          <w:p w14:paraId="78F07A0D" w14:textId="77777777" w:rsidR="00DE70EE" w:rsidRPr="000A4077" w:rsidRDefault="00DE70EE" w:rsidP="004F694C">
            <w:pPr>
              <w:widowControl w:val="0"/>
              <w:autoSpaceDE w:val="0"/>
              <w:autoSpaceDN w:val="0"/>
              <w:adjustRightInd w:val="0"/>
              <w:jc w:val="center"/>
              <w:rPr>
                <w:i/>
                <w:iCs/>
                <w:sz w:val="24"/>
                <w:szCs w:val="24"/>
              </w:rPr>
            </w:pPr>
          </w:p>
        </w:tc>
        <w:tc>
          <w:tcPr>
            <w:tcW w:w="3544" w:type="dxa"/>
            <w:vAlign w:val="bottom"/>
          </w:tcPr>
          <w:p w14:paraId="3C87502A" w14:textId="59F76723" w:rsidR="00DE70EE" w:rsidRPr="000A4077" w:rsidRDefault="005E282B" w:rsidP="004F694C">
            <w:pPr>
              <w:widowControl w:val="0"/>
              <w:autoSpaceDE w:val="0"/>
              <w:autoSpaceDN w:val="0"/>
              <w:adjustRightInd w:val="0"/>
              <w:jc w:val="right"/>
              <w:rPr>
                <w:i/>
                <w:iCs/>
                <w:sz w:val="24"/>
                <w:szCs w:val="24"/>
              </w:rPr>
            </w:pPr>
            <w:r>
              <w:rPr>
                <w:iCs/>
                <w:sz w:val="24"/>
                <w:szCs w:val="24"/>
              </w:rPr>
              <w:t>M. Lazdovskis</w:t>
            </w:r>
          </w:p>
        </w:tc>
      </w:tr>
      <w:tr w:rsidR="00DE70EE" w:rsidRPr="000A4077" w14:paraId="35D6DBE7" w14:textId="77777777" w:rsidTr="004F694C">
        <w:tc>
          <w:tcPr>
            <w:tcW w:w="4395" w:type="dxa"/>
          </w:tcPr>
          <w:p w14:paraId="65048F6D" w14:textId="77777777" w:rsidR="00DE70EE" w:rsidRPr="000A4077" w:rsidRDefault="00DE70EE" w:rsidP="004F694C">
            <w:pPr>
              <w:widowControl w:val="0"/>
              <w:autoSpaceDE w:val="0"/>
              <w:autoSpaceDN w:val="0"/>
              <w:adjustRightInd w:val="0"/>
              <w:rPr>
                <w:i/>
                <w:iCs/>
                <w:sz w:val="24"/>
                <w:szCs w:val="24"/>
              </w:rPr>
            </w:pPr>
          </w:p>
        </w:tc>
        <w:tc>
          <w:tcPr>
            <w:tcW w:w="1984" w:type="dxa"/>
          </w:tcPr>
          <w:p w14:paraId="7AFF2488" w14:textId="77777777" w:rsidR="00DE70EE" w:rsidRPr="000A4077" w:rsidRDefault="00DE70EE" w:rsidP="004F694C">
            <w:pPr>
              <w:widowControl w:val="0"/>
              <w:autoSpaceDE w:val="0"/>
              <w:autoSpaceDN w:val="0"/>
              <w:adjustRightInd w:val="0"/>
              <w:jc w:val="right"/>
              <w:rPr>
                <w:i/>
                <w:iCs/>
                <w:sz w:val="24"/>
                <w:szCs w:val="24"/>
              </w:rPr>
            </w:pPr>
          </w:p>
        </w:tc>
        <w:tc>
          <w:tcPr>
            <w:tcW w:w="3544" w:type="dxa"/>
            <w:vAlign w:val="bottom"/>
          </w:tcPr>
          <w:p w14:paraId="292970BD" w14:textId="77777777" w:rsidR="00DE70EE" w:rsidRPr="000A4077" w:rsidRDefault="00DE70EE" w:rsidP="004F694C">
            <w:pPr>
              <w:widowControl w:val="0"/>
              <w:autoSpaceDE w:val="0"/>
              <w:autoSpaceDN w:val="0"/>
              <w:adjustRightInd w:val="0"/>
              <w:rPr>
                <w:i/>
                <w:iCs/>
                <w:sz w:val="24"/>
                <w:szCs w:val="24"/>
              </w:rPr>
            </w:pPr>
          </w:p>
        </w:tc>
      </w:tr>
    </w:tbl>
    <w:p w14:paraId="0EBEED36" w14:textId="77777777" w:rsidR="00DE70EE" w:rsidRPr="000A4077" w:rsidRDefault="00DE70EE" w:rsidP="00DE70EE">
      <w:pPr>
        <w:widowControl w:val="0"/>
        <w:autoSpaceDE w:val="0"/>
        <w:autoSpaceDN w:val="0"/>
        <w:adjustRightInd w:val="0"/>
        <w:ind w:firstLine="0"/>
        <w:jc w:val="left"/>
        <w:rPr>
          <w:rFonts w:eastAsia="Times New Roman" w:cs="Times New Roman"/>
          <w:iCs/>
          <w:szCs w:val="24"/>
        </w:rPr>
      </w:pPr>
    </w:p>
    <w:tbl>
      <w:tblPr>
        <w:tblpPr w:leftFromText="180" w:rightFromText="180" w:vertAnchor="text" w:tblpY="12"/>
        <w:tblW w:w="0" w:type="auto"/>
        <w:tblLook w:val="04A0" w:firstRow="1" w:lastRow="0" w:firstColumn="1" w:lastColumn="0" w:noHBand="0" w:noVBand="1"/>
      </w:tblPr>
      <w:tblGrid>
        <w:gridCol w:w="9072"/>
      </w:tblGrid>
      <w:tr w:rsidR="00DE70EE" w:rsidRPr="000A4077" w14:paraId="1B020041" w14:textId="77777777" w:rsidTr="004F694C">
        <w:trPr>
          <w:cantSplit/>
          <w:trHeight w:val="579"/>
        </w:trPr>
        <w:tc>
          <w:tcPr>
            <w:tcW w:w="9072" w:type="dxa"/>
          </w:tcPr>
          <w:tbl>
            <w:tblPr>
              <w:tblW w:w="0" w:type="auto"/>
              <w:tblInd w:w="567" w:type="dxa"/>
              <w:tblLook w:val="04A0" w:firstRow="1" w:lastRow="0" w:firstColumn="1" w:lastColumn="0" w:noHBand="0" w:noVBand="1"/>
            </w:tblPr>
            <w:tblGrid>
              <w:gridCol w:w="7793"/>
            </w:tblGrid>
            <w:tr w:rsidR="00DE70EE" w:rsidRPr="000A4077" w14:paraId="62C1087A" w14:textId="77777777" w:rsidTr="004F694C">
              <w:trPr>
                <w:cantSplit/>
                <w:trHeight w:val="207"/>
              </w:trPr>
              <w:tc>
                <w:tcPr>
                  <w:tcW w:w="7793" w:type="dxa"/>
                </w:tcPr>
                <w:p w14:paraId="4D9EDE3F" w14:textId="77777777" w:rsidR="00DE70EE" w:rsidRPr="000A4077" w:rsidRDefault="00DE70EE" w:rsidP="004F694C">
                  <w:pPr>
                    <w:framePr w:hSpace="180" w:wrap="around" w:vAnchor="text" w:hAnchor="text" w:y="12"/>
                    <w:widowControl w:val="0"/>
                    <w:ind w:left="102" w:firstLine="0"/>
                    <w:jc w:val="left"/>
                    <w:rPr>
                      <w:rFonts w:eastAsia="Times New Roman" w:cs="Times New Roman"/>
                      <w:szCs w:val="24"/>
                      <w:lang w:eastAsia="lv-LV"/>
                    </w:rPr>
                  </w:pPr>
                  <w:bookmarkStart w:id="5" w:name="edoc_info" w:colFirst="0" w:colLast="0"/>
                  <w:r>
                    <w:rPr>
                      <w:rFonts w:eastAsia="Times New Roman" w:cs="Times New Roman"/>
                      <w:szCs w:val="24"/>
                      <w:lang w:eastAsia="lv-LV"/>
                    </w:rPr>
                    <w:t>D</w:t>
                  </w:r>
                  <w:r w:rsidRPr="000A4077">
                    <w:rPr>
                      <w:rFonts w:eastAsia="Times New Roman" w:cs="Times New Roman"/>
                      <w:szCs w:val="24"/>
                      <w:lang w:eastAsia="lv-LV"/>
                    </w:rPr>
                    <w:t>okuments ir parakstīts ar drošu elektronisko parakstu un satur laika</w:t>
                  </w:r>
                  <w:r>
                    <w:rPr>
                      <w:rFonts w:eastAsia="Times New Roman" w:cs="Times New Roman"/>
                      <w:szCs w:val="24"/>
                      <w:lang w:eastAsia="lv-LV"/>
                    </w:rPr>
                    <w:t xml:space="preserve"> </w:t>
                  </w:r>
                  <w:r w:rsidRPr="000A4077">
                    <w:rPr>
                      <w:rFonts w:eastAsia="Times New Roman" w:cs="Times New Roman"/>
                      <w:szCs w:val="24"/>
                      <w:lang w:eastAsia="lv-LV"/>
                    </w:rPr>
                    <w:t>zīmogu</w:t>
                  </w:r>
                  <w:r>
                    <w:rPr>
                      <w:rFonts w:eastAsia="Times New Roman" w:cs="Times New Roman"/>
                      <w:szCs w:val="24"/>
                      <w:lang w:eastAsia="lv-LV"/>
                    </w:rPr>
                    <w:t>.</w:t>
                  </w:r>
                </w:p>
              </w:tc>
            </w:tr>
          </w:tbl>
          <w:p w14:paraId="226F183F" w14:textId="77777777" w:rsidR="00DE70EE" w:rsidRPr="000A4077" w:rsidRDefault="00DE70EE" w:rsidP="004F694C">
            <w:pPr>
              <w:widowControl w:val="0"/>
              <w:spacing w:before="60" w:after="60" w:line="360" w:lineRule="auto"/>
              <w:rPr>
                <w:rFonts w:eastAsia="Times New Roman" w:cs="Times New Roman"/>
                <w:i/>
                <w:szCs w:val="20"/>
                <w:lang w:val="de-DE" w:eastAsia="lv-LV"/>
              </w:rPr>
            </w:pPr>
          </w:p>
        </w:tc>
      </w:tr>
      <w:bookmarkEnd w:id="5"/>
    </w:tbl>
    <w:p w14:paraId="36D08F83" w14:textId="77777777" w:rsidR="00DE70EE" w:rsidRPr="000A4077" w:rsidRDefault="00DE70EE" w:rsidP="00DE70EE">
      <w:pPr>
        <w:keepLines/>
        <w:widowControl w:val="0"/>
        <w:spacing w:before="120"/>
        <w:ind w:firstLine="0"/>
        <w:jc w:val="left"/>
        <w:rPr>
          <w:rFonts w:eastAsia="Times New Roman" w:cs="Times New Roman"/>
          <w:sz w:val="26"/>
          <w:szCs w:val="20"/>
        </w:rPr>
      </w:pPr>
    </w:p>
    <w:p w14:paraId="7A1E5C85" w14:textId="77777777" w:rsidR="00DE70EE" w:rsidRDefault="00DE70EE" w:rsidP="00DE70EE">
      <w:pPr>
        <w:widowControl w:val="0"/>
        <w:autoSpaceDE w:val="0"/>
        <w:autoSpaceDN w:val="0"/>
        <w:adjustRightInd w:val="0"/>
        <w:ind w:firstLine="0"/>
        <w:jc w:val="left"/>
        <w:rPr>
          <w:rFonts w:eastAsia="Times New Roman" w:cs="Times New Roman"/>
          <w:iCs/>
          <w:szCs w:val="20"/>
        </w:rPr>
      </w:pPr>
    </w:p>
    <w:p w14:paraId="79D0428A" w14:textId="77777777" w:rsidR="00DE70EE" w:rsidRDefault="00DE70EE" w:rsidP="00DE70EE">
      <w:pPr>
        <w:widowControl w:val="0"/>
        <w:autoSpaceDE w:val="0"/>
        <w:autoSpaceDN w:val="0"/>
        <w:adjustRightInd w:val="0"/>
        <w:ind w:firstLine="0"/>
        <w:jc w:val="left"/>
        <w:rPr>
          <w:rFonts w:eastAsia="Times New Roman" w:cs="Times New Roman"/>
          <w:iCs/>
          <w:szCs w:val="20"/>
        </w:rPr>
      </w:pPr>
    </w:p>
    <w:bookmarkEnd w:id="3"/>
    <w:p w14:paraId="5AB74D8C" w14:textId="77777777" w:rsidR="005E282B" w:rsidRDefault="005E282B" w:rsidP="00FA3A05">
      <w:pPr>
        <w:pStyle w:val="Veidlapam"/>
        <w:rPr>
          <w:rFonts w:eastAsia="Times New Roman" w:cs="Times New Roman"/>
          <w:iCs/>
          <w:szCs w:val="24"/>
        </w:rPr>
      </w:pPr>
      <w:r>
        <w:rPr>
          <w:rFonts w:eastAsia="Times New Roman" w:cs="Times New Roman"/>
          <w:iCs/>
          <w:szCs w:val="24"/>
        </w:rPr>
        <w:t xml:space="preserve">Valnere 67028123 </w:t>
      </w:r>
    </w:p>
    <w:p w14:paraId="2953468E" w14:textId="4526DD49" w:rsidR="002214AB" w:rsidRPr="00FC62CB" w:rsidRDefault="005E282B" w:rsidP="00FA3A05">
      <w:pPr>
        <w:pStyle w:val="Veidlapam"/>
      </w:pPr>
      <w:r>
        <w:rPr>
          <w:rFonts w:eastAsia="Times New Roman" w:cs="Times New Roman"/>
          <w:iCs/>
          <w:szCs w:val="24"/>
        </w:rPr>
        <w:t>Sanita.Valnere@lvceli.lv</w:t>
      </w:r>
    </w:p>
    <w:p w14:paraId="7AC66F34" w14:textId="00BC0A8D" w:rsidR="00211DCE" w:rsidRDefault="00211DCE" w:rsidP="00FE6A34"/>
    <w:p w14:paraId="6CF7FD44" w14:textId="77777777" w:rsidR="002214AB" w:rsidRDefault="002214AB" w:rsidP="00211DCE">
      <w:pPr>
        <w:spacing w:after="160" w:line="259" w:lineRule="auto"/>
      </w:pPr>
    </w:p>
    <w:sectPr w:rsidR="002214AB" w:rsidSect="00D442AF">
      <w:headerReference w:type="default" r:id="rId7"/>
      <w:footerReference w:type="default" r:id="rId8"/>
      <w:headerReference w:type="first" r:id="rId9"/>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1C25" w14:textId="77777777" w:rsidR="009B4CE2" w:rsidRDefault="009B4CE2" w:rsidP="00437C2F">
      <w:r>
        <w:separator/>
      </w:r>
    </w:p>
  </w:endnote>
  <w:endnote w:type="continuationSeparator" w:id="0">
    <w:p w14:paraId="61270374" w14:textId="77777777" w:rsidR="009B4CE2" w:rsidRDefault="009B4CE2"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000000000000000"/>
    <w:charset w:val="00"/>
    <w:family w:val="modern"/>
    <w:notTrueType/>
    <w:pitch w:val="variable"/>
    <w:sig w:usb0="2000020F" w:usb1="00000003" w:usb2="00000000" w:usb3="00000000" w:csb0="000001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72725"/>
      <w:docPartObj>
        <w:docPartGallery w:val="Page Numbers (Bottom of Page)"/>
        <w:docPartUnique/>
      </w:docPartObj>
    </w:sdtPr>
    <w:sdtEndPr/>
    <w:sdtContent>
      <w:p w14:paraId="0698BD13" w14:textId="325DA327" w:rsidR="00D442AF" w:rsidRDefault="00D442AF">
        <w:pPr>
          <w:pStyle w:val="Footer"/>
          <w:jc w:val="right"/>
        </w:pPr>
        <w:r>
          <w:fldChar w:fldCharType="begin"/>
        </w:r>
        <w:r>
          <w:instrText>PAGE   \* MERGEFORMAT</w:instrText>
        </w:r>
        <w:r>
          <w:fldChar w:fldCharType="separate"/>
        </w:r>
        <w:r>
          <w:t>2</w:t>
        </w:r>
        <w:r>
          <w:fldChar w:fldCharType="end"/>
        </w:r>
      </w:p>
    </w:sdtContent>
  </w:sdt>
  <w:p w14:paraId="31F7F01E" w14:textId="77777777" w:rsidR="00997F6B" w:rsidRDefault="0099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561A" w14:textId="77777777" w:rsidR="009B4CE2" w:rsidRDefault="009B4CE2" w:rsidP="00437C2F">
      <w:r>
        <w:separator/>
      </w:r>
    </w:p>
  </w:footnote>
  <w:footnote w:type="continuationSeparator" w:id="0">
    <w:p w14:paraId="6DEDBBBE" w14:textId="77777777" w:rsidR="009B4CE2" w:rsidRDefault="009B4CE2" w:rsidP="0043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EAE" w14:textId="0EC4B220" w:rsidR="00437C2F" w:rsidRDefault="00437C2F" w:rsidP="00CC3F7F">
    <w:pPr>
      <w:pStyle w:val="Header"/>
      <w:ind w:left="-1134"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26D" w14:textId="4C10CB93" w:rsidR="00CC3F7F" w:rsidRDefault="00F94FBB" w:rsidP="005200A0">
    <w:pPr>
      <w:pStyle w:val="Header"/>
      <w:ind w:left="-1134" w:firstLine="0"/>
    </w:pPr>
    <w:r>
      <w:rPr>
        <w:noProof/>
      </w:rPr>
      <w:drawing>
        <wp:inline distT="0" distB="0" distL="0" distR="0" wp14:anchorId="445A8EFC" wp14:editId="36894B0C">
          <wp:extent cx="7559675" cy="148780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E95"/>
    <w:multiLevelType w:val="hybridMultilevel"/>
    <w:tmpl w:val="F6107EA8"/>
    <w:lvl w:ilvl="0" w:tplc="030A113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923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04AD6"/>
    <w:rsid w:val="00026C96"/>
    <w:rsid w:val="00031D93"/>
    <w:rsid w:val="00047A33"/>
    <w:rsid w:val="0007000E"/>
    <w:rsid w:val="00085CD0"/>
    <w:rsid w:val="000A6AB9"/>
    <w:rsid w:val="000B4303"/>
    <w:rsid w:val="000D6F99"/>
    <w:rsid w:val="000E32FF"/>
    <w:rsid w:val="0010142E"/>
    <w:rsid w:val="001065FA"/>
    <w:rsid w:val="00121FE0"/>
    <w:rsid w:val="001468EE"/>
    <w:rsid w:val="001475CD"/>
    <w:rsid w:val="00150BB8"/>
    <w:rsid w:val="0018118D"/>
    <w:rsid w:val="001822F4"/>
    <w:rsid w:val="00191755"/>
    <w:rsid w:val="001948A0"/>
    <w:rsid w:val="001B5274"/>
    <w:rsid w:val="001D25F7"/>
    <w:rsid w:val="001E790A"/>
    <w:rsid w:val="001F21F8"/>
    <w:rsid w:val="001F266D"/>
    <w:rsid w:val="00200CC6"/>
    <w:rsid w:val="00211DCE"/>
    <w:rsid w:val="002214AB"/>
    <w:rsid w:val="002331A0"/>
    <w:rsid w:val="00244221"/>
    <w:rsid w:val="002645F5"/>
    <w:rsid w:val="00286ABC"/>
    <w:rsid w:val="0029195E"/>
    <w:rsid w:val="003057F7"/>
    <w:rsid w:val="00312E49"/>
    <w:rsid w:val="003A1C1B"/>
    <w:rsid w:val="003B3D1A"/>
    <w:rsid w:val="003F5036"/>
    <w:rsid w:val="00434786"/>
    <w:rsid w:val="00437C2F"/>
    <w:rsid w:val="004439F3"/>
    <w:rsid w:val="00462540"/>
    <w:rsid w:val="00492B16"/>
    <w:rsid w:val="004D3969"/>
    <w:rsid w:val="004D54A9"/>
    <w:rsid w:val="005200A0"/>
    <w:rsid w:val="00540248"/>
    <w:rsid w:val="005451A0"/>
    <w:rsid w:val="00563786"/>
    <w:rsid w:val="00593BBD"/>
    <w:rsid w:val="00597E54"/>
    <w:rsid w:val="005C1EA3"/>
    <w:rsid w:val="005D1D78"/>
    <w:rsid w:val="005E282B"/>
    <w:rsid w:val="005F2514"/>
    <w:rsid w:val="00614B77"/>
    <w:rsid w:val="006264BA"/>
    <w:rsid w:val="00645930"/>
    <w:rsid w:val="0064618A"/>
    <w:rsid w:val="00671CE0"/>
    <w:rsid w:val="006761FF"/>
    <w:rsid w:val="006A34ED"/>
    <w:rsid w:val="006E5ECB"/>
    <w:rsid w:val="006F1F44"/>
    <w:rsid w:val="00711AA6"/>
    <w:rsid w:val="00742B86"/>
    <w:rsid w:val="007669DD"/>
    <w:rsid w:val="007D2F59"/>
    <w:rsid w:val="007F212D"/>
    <w:rsid w:val="007F22B5"/>
    <w:rsid w:val="00821A5C"/>
    <w:rsid w:val="00857D41"/>
    <w:rsid w:val="00862011"/>
    <w:rsid w:val="00863A97"/>
    <w:rsid w:val="008721C8"/>
    <w:rsid w:val="00884089"/>
    <w:rsid w:val="00887574"/>
    <w:rsid w:val="00897E31"/>
    <w:rsid w:val="008D240A"/>
    <w:rsid w:val="00983E99"/>
    <w:rsid w:val="00997F6B"/>
    <w:rsid w:val="009A6DE6"/>
    <w:rsid w:val="009B4CE2"/>
    <w:rsid w:val="009C0C59"/>
    <w:rsid w:val="009D114D"/>
    <w:rsid w:val="009D74F0"/>
    <w:rsid w:val="009D7C4C"/>
    <w:rsid w:val="009F169E"/>
    <w:rsid w:val="009F50EF"/>
    <w:rsid w:val="00AA1757"/>
    <w:rsid w:val="00AC014B"/>
    <w:rsid w:val="00AD6BDE"/>
    <w:rsid w:val="00B3799F"/>
    <w:rsid w:val="00B56751"/>
    <w:rsid w:val="00B74F40"/>
    <w:rsid w:val="00B77B35"/>
    <w:rsid w:val="00B836DC"/>
    <w:rsid w:val="00B92989"/>
    <w:rsid w:val="00BA29A4"/>
    <w:rsid w:val="00BB0A98"/>
    <w:rsid w:val="00BC1A17"/>
    <w:rsid w:val="00BF2254"/>
    <w:rsid w:val="00C1243D"/>
    <w:rsid w:val="00C55059"/>
    <w:rsid w:val="00C61314"/>
    <w:rsid w:val="00C67520"/>
    <w:rsid w:val="00C860B6"/>
    <w:rsid w:val="00CB0222"/>
    <w:rsid w:val="00CC3F7F"/>
    <w:rsid w:val="00CD5037"/>
    <w:rsid w:val="00D27145"/>
    <w:rsid w:val="00D2794F"/>
    <w:rsid w:val="00D34566"/>
    <w:rsid w:val="00D442AF"/>
    <w:rsid w:val="00D445A2"/>
    <w:rsid w:val="00D6295E"/>
    <w:rsid w:val="00DA3183"/>
    <w:rsid w:val="00DC5510"/>
    <w:rsid w:val="00DD3717"/>
    <w:rsid w:val="00DE70EE"/>
    <w:rsid w:val="00DF5230"/>
    <w:rsid w:val="00E12A29"/>
    <w:rsid w:val="00E16AC4"/>
    <w:rsid w:val="00E26079"/>
    <w:rsid w:val="00E344D6"/>
    <w:rsid w:val="00E3516F"/>
    <w:rsid w:val="00E62B1C"/>
    <w:rsid w:val="00E67261"/>
    <w:rsid w:val="00E90182"/>
    <w:rsid w:val="00EA1A84"/>
    <w:rsid w:val="00EC2A1B"/>
    <w:rsid w:val="00ED48A2"/>
    <w:rsid w:val="00F17096"/>
    <w:rsid w:val="00F27EB8"/>
    <w:rsid w:val="00F57F85"/>
    <w:rsid w:val="00F6127E"/>
    <w:rsid w:val="00F82864"/>
    <w:rsid w:val="00F94FBB"/>
    <w:rsid w:val="00F9793B"/>
    <w:rsid w:val="00FA3A05"/>
    <w:rsid w:val="00FD682F"/>
    <w:rsid w:val="00FE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0908"/>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2F"/>
    <w:pPr>
      <w:tabs>
        <w:tab w:val="center" w:pos="4513"/>
        <w:tab w:val="right" w:pos="9026"/>
      </w:tabs>
    </w:pPr>
  </w:style>
  <w:style w:type="character" w:customStyle="1" w:styleId="HeaderChar">
    <w:name w:val="Header Char"/>
    <w:basedOn w:val="DefaultParagraphFont"/>
    <w:link w:val="Header"/>
    <w:uiPriority w:val="99"/>
    <w:rsid w:val="00437C2F"/>
  </w:style>
  <w:style w:type="paragraph" w:styleId="Footer">
    <w:name w:val="footer"/>
    <w:basedOn w:val="Normal"/>
    <w:link w:val="FooterChar"/>
    <w:uiPriority w:val="99"/>
    <w:unhideWhenUsed/>
    <w:rsid w:val="00437C2F"/>
    <w:pPr>
      <w:tabs>
        <w:tab w:val="center" w:pos="4513"/>
        <w:tab w:val="right" w:pos="9026"/>
      </w:tabs>
    </w:pPr>
  </w:style>
  <w:style w:type="character" w:customStyle="1" w:styleId="FooterChar">
    <w:name w:val="Footer Char"/>
    <w:basedOn w:val="DefaultParagraphFont"/>
    <w:link w:val="Footer"/>
    <w:uiPriority w:val="99"/>
    <w:rsid w:val="00437C2F"/>
  </w:style>
  <w:style w:type="table" w:styleId="TableGrid">
    <w:name w:val="Table Grid"/>
    <w:basedOn w:val="TableNormal"/>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2F"/>
    <w:rPr>
      <w:color w:val="0563C1" w:themeColor="hyperlink"/>
      <w:u w:val="single"/>
    </w:rPr>
  </w:style>
  <w:style w:type="character" w:styleId="UnresolvedMention">
    <w:name w:val="Unresolved Mention"/>
    <w:basedOn w:val="DefaultParagraphFont"/>
    <w:uiPriority w:val="99"/>
    <w:semiHidden/>
    <w:unhideWhenUsed/>
    <w:rsid w:val="00437C2F"/>
    <w:rPr>
      <w:color w:val="605E5C"/>
      <w:shd w:val="clear" w:color="auto" w:fill="E1DFDD"/>
    </w:rPr>
  </w:style>
  <w:style w:type="paragraph" w:styleId="EnvelopeReturn">
    <w:name w:val="envelope return"/>
    <w:basedOn w:val="Normal"/>
    <w:rsid w:val="002214AB"/>
    <w:pPr>
      <w:keepLines/>
      <w:widowControl w:val="0"/>
      <w:spacing w:before="600"/>
    </w:pPr>
    <w:rPr>
      <w:rFonts w:eastAsia="Times New Roman" w:cs="Times New Roman"/>
      <w:i/>
      <w:sz w:val="26"/>
      <w:szCs w:val="20"/>
      <w:lang w:val="en-AU"/>
    </w:rPr>
  </w:style>
  <w:style w:type="paragraph" w:styleId="BodyTextIndent">
    <w:name w:val="Body Text Indent"/>
    <w:basedOn w:val="Normal"/>
    <w:link w:val="BodyTextIndentChar"/>
    <w:rsid w:val="002214AB"/>
    <w:pPr>
      <w:widowControl w:val="0"/>
      <w:spacing w:before="60" w:after="60" w:line="360" w:lineRule="auto"/>
    </w:pPr>
    <w:rPr>
      <w:rFonts w:eastAsia="Times New Roman" w:cs="Times New Roman"/>
      <w:i/>
      <w:szCs w:val="20"/>
      <w:lang w:eastAsia="lv-LV"/>
    </w:rPr>
  </w:style>
  <w:style w:type="character" w:customStyle="1" w:styleId="BodyTextIndentChar">
    <w:name w:val="Body Text Indent Char"/>
    <w:basedOn w:val="DefaultParagraphFont"/>
    <w:link w:val="BodyTextIndent"/>
    <w:rsid w:val="002214AB"/>
    <w:rPr>
      <w:rFonts w:ascii="Times New Roman" w:eastAsia="Times New Roman" w:hAnsi="Times New Roman" w:cs="Times New Roman"/>
      <w:i/>
      <w:sz w:val="24"/>
      <w:szCs w:val="20"/>
      <w:lang w:eastAsia="lv-LV"/>
    </w:rPr>
  </w:style>
  <w:style w:type="paragraph" w:styleId="NoSpacing">
    <w:name w:val="No Spacing"/>
    <w:uiPriority w:val="1"/>
    <w:qFormat/>
    <w:rsid w:val="002214AB"/>
    <w:rPr>
      <w:rFonts w:ascii="Montserrat" w:hAnsi="Montserrat"/>
    </w:rPr>
  </w:style>
  <w:style w:type="paragraph" w:customStyle="1" w:styleId="Veidlapam">
    <w:name w:val="Veidlapam"/>
    <w:basedOn w:val="Normal"/>
    <w:qFormat/>
    <w:rsid w:val="00FA3A05"/>
  </w:style>
  <w:style w:type="table" w:customStyle="1" w:styleId="Reatabula1">
    <w:name w:val="Režģa tabula1"/>
    <w:basedOn w:val="TableNormal"/>
    <w:next w:val="TableGrid"/>
    <w:uiPriority w:val="59"/>
    <w:rsid w:val="00DE70EE"/>
    <w:pPr>
      <w:ind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A0"/>
    <w:rPr>
      <w:rFonts w:ascii="Segoe UI" w:hAnsi="Segoe UI" w:cs="Segoe UI"/>
      <w:sz w:val="18"/>
      <w:szCs w:val="18"/>
    </w:rPr>
  </w:style>
  <w:style w:type="paragraph" w:styleId="ListParagraph">
    <w:name w:val="List Paragraph"/>
    <w:basedOn w:val="Normal"/>
    <w:uiPriority w:val="34"/>
    <w:qFormat/>
    <w:rsid w:val="00597E54"/>
    <w:pPr>
      <w:spacing w:after="160" w:line="259" w:lineRule="auto"/>
      <w:ind w:left="720" w:firstLine="0"/>
      <w:contextualSpacing/>
      <w:jc w:val="left"/>
    </w:pPr>
    <w:rPr>
      <w:rFonts w:asciiTheme="minorHAnsi" w:hAnsiTheme="minorHAnsi"/>
      <w:sz w:val="22"/>
    </w:rPr>
  </w:style>
  <w:style w:type="character" w:styleId="CommentReference">
    <w:name w:val="annotation reference"/>
    <w:basedOn w:val="DefaultParagraphFont"/>
    <w:uiPriority w:val="99"/>
    <w:semiHidden/>
    <w:unhideWhenUsed/>
    <w:rsid w:val="00597E54"/>
    <w:rPr>
      <w:sz w:val="16"/>
      <w:szCs w:val="16"/>
    </w:rPr>
  </w:style>
  <w:style w:type="paragraph" w:styleId="CommentText">
    <w:name w:val="annotation text"/>
    <w:basedOn w:val="Normal"/>
    <w:link w:val="CommentTextChar"/>
    <w:uiPriority w:val="99"/>
    <w:unhideWhenUsed/>
    <w:rsid w:val="00597E54"/>
    <w:rPr>
      <w:sz w:val="20"/>
      <w:szCs w:val="20"/>
    </w:rPr>
  </w:style>
  <w:style w:type="character" w:customStyle="1" w:styleId="CommentTextChar">
    <w:name w:val="Comment Text Char"/>
    <w:basedOn w:val="DefaultParagraphFont"/>
    <w:link w:val="CommentText"/>
    <w:uiPriority w:val="99"/>
    <w:rsid w:val="00597E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2066</Words>
  <Characters>1179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LATVIJAS VALSTS CEĻI</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būvizmaksu pieaugumu un līgumcenas pārskatīš</dc:subject>
  <dc:creator>Valnere S.</dc:creator>
  <cp:keywords/>
  <dc:description>Sagatavots ALS E-aprites vidē.</dc:description>
  <cp:lastModifiedBy>Biedrība Latvijas ceļu būvētājs</cp:lastModifiedBy>
  <cp:revision>2</cp:revision>
  <dcterms:created xsi:type="dcterms:W3CDTF">2022-04-27T13:59:00Z</dcterms:created>
  <dcterms:modified xsi:type="dcterms:W3CDTF">2022-04-27T13:59:00Z</dcterms:modified>
  <cp:contentStatus>Pēdējais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