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AE42C" w14:textId="77777777" w:rsidR="00A9542A" w:rsidRDefault="00A9542A" w:rsidP="00F84AF9">
      <w:pPr>
        <w:jc w:val="center"/>
        <w:rPr>
          <w:b/>
          <w:sz w:val="28"/>
          <w:szCs w:val="28"/>
        </w:rPr>
      </w:pPr>
    </w:p>
    <w:p w14:paraId="3A104154" w14:textId="77777777" w:rsidR="004A6423" w:rsidRPr="001D08EC" w:rsidRDefault="00156FA2" w:rsidP="00F84AF9">
      <w:pPr>
        <w:jc w:val="center"/>
        <w:rPr>
          <w:b/>
          <w:sz w:val="28"/>
          <w:szCs w:val="28"/>
        </w:rPr>
      </w:pPr>
      <w:r w:rsidRPr="001D08EC">
        <w:rPr>
          <w:b/>
          <w:sz w:val="28"/>
          <w:szCs w:val="28"/>
        </w:rPr>
        <w:t>Informatīvais ziņojums</w:t>
      </w:r>
    </w:p>
    <w:p w14:paraId="1CA70916" w14:textId="1B8BCEBF" w:rsidR="00156FA2" w:rsidRPr="001D08EC" w:rsidRDefault="00354C80" w:rsidP="00F84AF9">
      <w:pPr>
        <w:jc w:val="center"/>
        <w:rPr>
          <w:b/>
          <w:sz w:val="28"/>
          <w:szCs w:val="28"/>
        </w:rPr>
      </w:pPr>
      <w:r w:rsidRPr="001D08EC">
        <w:rPr>
          <w:b/>
          <w:sz w:val="28"/>
          <w:szCs w:val="28"/>
        </w:rPr>
        <w:t>P</w:t>
      </w:r>
      <w:r w:rsidR="00156FA2" w:rsidRPr="001D08EC">
        <w:rPr>
          <w:b/>
          <w:sz w:val="28"/>
          <w:szCs w:val="28"/>
        </w:rPr>
        <w:t>ar</w:t>
      </w:r>
      <w:r>
        <w:rPr>
          <w:b/>
          <w:sz w:val="28"/>
          <w:szCs w:val="28"/>
        </w:rPr>
        <w:t xml:space="preserve"> situāciju būvniecības nozarē saistībā ar Krievijas agresiju Ukrainā un nepieciešamajiem risinājumiem publisko investīciju projektos</w:t>
      </w:r>
    </w:p>
    <w:p w14:paraId="4F14551A" w14:textId="77777777" w:rsidR="00F84AF9" w:rsidRDefault="00F84AF9" w:rsidP="005657DB">
      <w:pPr>
        <w:rPr>
          <w:sz w:val="28"/>
          <w:szCs w:val="28"/>
        </w:rPr>
      </w:pPr>
    </w:p>
    <w:p w14:paraId="5A11A48E" w14:textId="0ADBA8CE" w:rsidR="00A9542A" w:rsidRPr="008E724C" w:rsidRDefault="00785C64" w:rsidP="008E724C">
      <w:pPr>
        <w:pStyle w:val="ListParagraph"/>
        <w:numPr>
          <w:ilvl w:val="0"/>
          <w:numId w:val="23"/>
        </w:numPr>
        <w:rPr>
          <w:b/>
          <w:bCs/>
          <w:color w:val="548DD4" w:themeColor="text2" w:themeTint="99"/>
          <w:sz w:val="28"/>
          <w:szCs w:val="28"/>
        </w:rPr>
      </w:pPr>
      <w:r>
        <w:rPr>
          <w:b/>
          <w:bCs/>
          <w:color w:val="548DD4" w:themeColor="text2" w:themeTint="99"/>
          <w:sz w:val="28"/>
          <w:szCs w:val="28"/>
        </w:rPr>
        <w:t>Krievijas karadarbības Ukrainā</w:t>
      </w:r>
      <w:r w:rsidR="00DC28F4" w:rsidRPr="008E724C">
        <w:rPr>
          <w:b/>
          <w:bCs/>
          <w:color w:val="548DD4" w:themeColor="text2" w:themeTint="99"/>
          <w:sz w:val="28"/>
          <w:szCs w:val="28"/>
        </w:rPr>
        <w:t xml:space="preserve"> </w:t>
      </w:r>
      <w:r w:rsidR="008E724C" w:rsidRPr="008E724C">
        <w:rPr>
          <w:b/>
          <w:bCs/>
          <w:color w:val="548DD4" w:themeColor="text2" w:themeTint="99"/>
          <w:sz w:val="28"/>
          <w:szCs w:val="28"/>
        </w:rPr>
        <w:t>ietekme uz būvniecības nozares darbību</w:t>
      </w:r>
    </w:p>
    <w:p w14:paraId="0717A2C2" w14:textId="0A329BC8" w:rsidR="0046456E" w:rsidRDefault="00F84B1A" w:rsidP="005E268E">
      <w:pPr>
        <w:ind w:firstLine="720"/>
        <w:jc w:val="both"/>
        <w:rPr>
          <w:sz w:val="28"/>
          <w:szCs w:val="28"/>
        </w:rPr>
      </w:pPr>
      <w:r>
        <w:rPr>
          <w:sz w:val="28"/>
          <w:szCs w:val="28"/>
        </w:rPr>
        <w:t xml:space="preserve">Būvniecības nozare izjūt spēcīgu </w:t>
      </w:r>
      <w:proofErr w:type="spellStart"/>
      <w:r>
        <w:rPr>
          <w:sz w:val="28"/>
          <w:szCs w:val="28"/>
        </w:rPr>
        <w:t>turbulenci</w:t>
      </w:r>
      <w:proofErr w:type="spellEnd"/>
      <w:r>
        <w:rPr>
          <w:sz w:val="28"/>
          <w:szCs w:val="28"/>
        </w:rPr>
        <w:t xml:space="preserve"> kopš Covid-19 pandēmijas sākuma </w:t>
      </w:r>
      <w:r w:rsidR="00F63100">
        <w:rPr>
          <w:sz w:val="28"/>
          <w:szCs w:val="28"/>
        </w:rPr>
        <w:t xml:space="preserve">2020.gada martā. </w:t>
      </w:r>
      <w:r w:rsidR="00BF60E6">
        <w:rPr>
          <w:sz w:val="28"/>
          <w:szCs w:val="28"/>
        </w:rPr>
        <w:t>B</w:t>
      </w:r>
      <w:r w:rsidR="0046456E">
        <w:rPr>
          <w:sz w:val="28"/>
          <w:szCs w:val="28"/>
        </w:rPr>
        <w:t>ūvniecības nozare ir viena no vismazāk Covid-19 pandēmijas skartajām nozarē</w:t>
      </w:r>
      <w:r w:rsidR="00F24FB8">
        <w:rPr>
          <w:sz w:val="28"/>
          <w:szCs w:val="28"/>
        </w:rPr>
        <w:t>m</w:t>
      </w:r>
      <w:r w:rsidR="0046456E">
        <w:rPr>
          <w:sz w:val="28"/>
          <w:szCs w:val="28"/>
        </w:rPr>
        <w:t>, tā nebija pakļauta tiešiem darbības ierobežojumiem</w:t>
      </w:r>
      <w:r w:rsidR="00BF60E6">
        <w:rPr>
          <w:sz w:val="28"/>
          <w:szCs w:val="28"/>
        </w:rPr>
        <w:t>, turklāt v</w:t>
      </w:r>
      <w:r w:rsidR="0046456E">
        <w:rPr>
          <w:sz w:val="28"/>
          <w:szCs w:val="28"/>
        </w:rPr>
        <w:t>aldības pārdomātas rīcības rezultātā</w:t>
      </w:r>
      <w:r w:rsidR="00BF60E6">
        <w:rPr>
          <w:sz w:val="28"/>
          <w:szCs w:val="28"/>
        </w:rPr>
        <w:t xml:space="preserve"> </w:t>
      </w:r>
      <w:r w:rsidR="0046456E">
        <w:rPr>
          <w:sz w:val="28"/>
          <w:szCs w:val="28"/>
        </w:rPr>
        <w:t>būvniecības produkcijas apjoms 2020. un 2021.gadā bija stabils</w:t>
      </w:r>
      <w:r w:rsidR="00BF60E6">
        <w:rPr>
          <w:sz w:val="28"/>
          <w:szCs w:val="28"/>
        </w:rPr>
        <w:t>. Vienlaicīgi</w:t>
      </w:r>
      <w:r w:rsidR="0046456E">
        <w:rPr>
          <w:sz w:val="28"/>
          <w:szCs w:val="28"/>
        </w:rPr>
        <w:t xml:space="preserve"> būvniecības nozare asi izj</w:t>
      </w:r>
      <w:r w:rsidR="00F1532A">
        <w:rPr>
          <w:sz w:val="28"/>
          <w:szCs w:val="28"/>
        </w:rPr>
        <w:t>u</w:t>
      </w:r>
      <w:r w:rsidR="0046456E">
        <w:rPr>
          <w:sz w:val="28"/>
          <w:szCs w:val="28"/>
        </w:rPr>
        <w:t>ta pandēmijas globālās sekas</w:t>
      </w:r>
      <w:r w:rsidR="00BF60E6">
        <w:rPr>
          <w:sz w:val="28"/>
          <w:szCs w:val="28"/>
        </w:rPr>
        <w:t xml:space="preserve">, augsts saslimstības līmenis pasaulē, kā arī citu valstu ieviestie pasākumi pandēmijas ierobežošanai, būtiski ietekmēja būvizstrādājumu ražošanas jaudas, kā arī piegādes ķēdes, veicinot strauju atsevišķu izejvielu un būvizstrādājumu cenu kāpumu, kā arī atsevišķu būvizstrādājumu nepieejamību. </w:t>
      </w:r>
    </w:p>
    <w:p w14:paraId="75A7A2AB" w14:textId="27AA293D" w:rsidR="00C54BF6" w:rsidRDefault="0046456E" w:rsidP="0046456E">
      <w:pPr>
        <w:ind w:firstLine="720"/>
        <w:jc w:val="both"/>
        <w:rPr>
          <w:sz w:val="28"/>
          <w:szCs w:val="28"/>
        </w:rPr>
      </w:pPr>
      <w:r>
        <w:rPr>
          <w:sz w:val="28"/>
          <w:szCs w:val="28"/>
        </w:rPr>
        <w:t xml:space="preserve">2021.gadā būvniecības nozarē bija strauja inflācija. </w:t>
      </w:r>
      <w:r w:rsidRPr="0046456E">
        <w:rPr>
          <w:sz w:val="28"/>
          <w:szCs w:val="28"/>
        </w:rPr>
        <w:t>2022. gada janvārī, salīdzinot ar 2021. gada janvāri, būvniecības izmaksu līmenis Latvijā palielinājās par 14,2 %, liecina Centrālās statistikas pārvaldes dati. Būvmateriālu cenas palielinājās par 20,4 %, mašīnu un mehānismu uzturēšanas un ekspluatācijas izmaksas – par 9,6 %, bet strādnieku darba samaksa pieauga par 5,9 %</w:t>
      </w:r>
      <w:r w:rsidR="00BF60E6">
        <w:rPr>
          <w:sz w:val="28"/>
          <w:szCs w:val="28"/>
        </w:rPr>
        <w:t xml:space="preserve"> (attēls Nr. 1). Lielākais cenu kāpums bija tērauda un dzelzs izstrādājumiem un kokam.</w:t>
      </w:r>
    </w:p>
    <w:p w14:paraId="45FCDA75" w14:textId="77777777" w:rsidR="00BF60E6" w:rsidRDefault="00BF60E6" w:rsidP="0046456E">
      <w:pPr>
        <w:ind w:firstLine="720"/>
        <w:jc w:val="both"/>
        <w:rPr>
          <w:sz w:val="28"/>
          <w:szCs w:val="28"/>
        </w:rPr>
      </w:pPr>
    </w:p>
    <w:p w14:paraId="7B6A7ECC" w14:textId="773AC23B" w:rsidR="0046456E" w:rsidRDefault="0046456E" w:rsidP="0046456E">
      <w:pPr>
        <w:ind w:firstLine="720"/>
        <w:jc w:val="right"/>
        <w:rPr>
          <w:sz w:val="28"/>
          <w:szCs w:val="28"/>
        </w:rPr>
      </w:pPr>
      <w:r>
        <w:rPr>
          <w:sz w:val="28"/>
          <w:szCs w:val="28"/>
        </w:rPr>
        <w:t>Attēls Nr. 1</w:t>
      </w:r>
      <w:r>
        <w:rPr>
          <w:rStyle w:val="FootnoteReference"/>
          <w:sz w:val="28"/>
          <w:szCs w:val="28"/>
        </w:rPr>
        <w:footnoteReference w:id="2"/>
      </w:r>
    </w:p>
    <w:p w14:paraId="33AF6432" w14:textId="77777777" w:rsidR="00C54BF6" w:rsidRDefault="00C54BF6" w:rsidP="005E268E">
      <w:pPr>
        <w:ind w:firstLine="720"/>
        <w:jc w:val="both"/>
        <w:rPr>
          <w:sz w:val="28"/>
          <w:szCs w:val="28"/>
        </w:rPr>
      </w:pPr>
    </w:p>
    <w:p w14:paraId="11FDD77B" w14:textId="29E79368" w:rsidR="001D08EC" w:rsidRDefault="0046456E" w:rsidP="009863B7">
      <w:pPr>
        <w:jc w:val="center"/>
        <w:rPr>
          <w:sz w:val="28"/>
          <w:szCs w:val="28"/>
        </w:rPr>
      </w:pPr>
      <w:r>
        <w:rPr>
          <w:noProof/>
        </w:rPr>
        <w:drawing>
          <wp:inline distT="0" distB="0" distL="0" distR="0" wp14:anchorId="3B60B60A" wp14:editId="7BD71803">
            <wp:extent cx="4330700" cy="2901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7008" cy="2919080"/>
                    </a:xfrm>
                    <a:prstGeom prst="rect">
                      <a:avLst/>
                    </a:prstGeom>
                    <a:noFill/>
                    <a:ln>
                      <a:noFill/>
                    </a:ln>
                  </pic:spPr>
                </pic:pic>
              </a:graphicData>
            </a:graphic>
          </wp:inline>
        </w:drawing>
      </w:r>
    </w:p>
    <w:p w14:paraId="340EB787" w14:textId="33A3791B" w:rsidR="009863B7" w:rsidRDefault="009863B7" w:rsidP="009863B7">
      <w:pPr>
        <w:jc w:val="center"/>
        <w:rPr>
          <w:sz w:val="28"/>
          <w:szCs w:val="28"/>
        </w:rPr>
      </w:pPr>
    </w:p>
    <w:p w14:paraId="0E8ABEE7" w14:textId="55732A74" w:rsidR="009863B7" w:rsidRDefault="00BF60E6" w:rsidP="009863B7">
      <w:pPr>
        <w:ind w:firstLine="567"/>
        <w:jc w:val="both"/>
        <w:rPr>
          <w:sz w:val="28"/>
          <w:szCs w:val="28"/>
        </w:rPr>
      </w:pPr>
      <w:r>
        <w:rPr>
          <w:sz w:val="28"/>
          <w:szCs w:val="28"/>
        </w:rPr>
        <w:lastRenderedPageBreak/>
        <w:t>B</w:t>
      </w:r>
      <w:r w:rsidR="009863B7">
        <w:rPr>
          <w:sz w:val="28"/>
          <w:szCs w:val="28"/>
        </w:rPr>
        <w:t>ūvniecības izmaksu pieaugumu 2021.gada nogalē</w:t>
      </w:r>
      <w:r>
        <w:rPr>
          <w:sz w:val="28"/>
          <w:szCs w:val="28"/>
        </w:rPr>
        <w:t xml:space="preserve"> un 2022.gada pirmajos mēnešos</w:t>
      </w:r>
      <w:r w:rsidR="009863B7">
        <w:rPr>
          <w:sz w:val="28"/>
          <w:szCs w:val="28"/>
        </w:rPr>
        <w:t xml:space="preserve"> būtiski ietekmēja energoresursu cenu pieaugums. Būvizstrādājumu ražošana ir energoresursu ietilpīgs process, atsevišķ</w:t>
      </w:r>
      <w:r>
        <w:rPr>
          <w:sz w:val="28"/>
          <w:szCs w:val="28"/>
        </w:rPr>
        <w:t>iem</w:t>
      </w:r>
      <w:r w:rsidR="009863B7">
        <w:rPr>
          <w:sz w:val="28"/>
          <w:szCs w:val="28"/>
        </w:rPr>
        <w:t xml:space="preserve"> būvju veid</w:t>
      </w:r>
      <w:r>
        <w:rPr>
          <w:sz w:val="28"/>
          <w:szCs w:val="28"/>
        </w:rPr>
        <w:t>iem</w:t>
      </w:r>
      <w:r w:rsidR="009863B7">
        <w:rPr>
          <w:sz w:val="28"/>
          <w:szCs w:val="28"/>
        </w:rPr>
        <w:t xml:space="preserve"> būvniecības izmaksu nozīmīgu daļu veido degvielas cena</w:t>
      </w:r>
      <w:r w:rsidR="00582705">
        <w:rPr>
          <w:sz w:val="28"/>
          <w:szCs w:val="28"/>
        </w:rPr>
        <w:t>.</w:t>
      </w:r>
      <w:r w:rsidR="009863B7">
        <w:rPr>
          <w:sz w:val="28"/>
          <w:szCs w:val="28"/>
        </w:rPr>
        <w:t xml:space="preserve"> </w:t>
      </w:r>
    </w:p>
    <w:p w14:paraId="2169CA17" w14:textId="34B18E4C" w:rsidR="009863B7" w:rsidRDefault="009863B7" w:rsidP="009863B7">
      <w:pPr>
        <w:ind w:firstLine="567"/>
        <w:jc w:val="both"/>
        <w:rPr>
          <w:sz w:val="28"/>
          <w:szCs w:val="28"/>
        </w:rPr>
      </w:pPr>
      <w:r>
        <w:rPr>
          <w:sz w:val="28"/>
          <w:szCs w:val="28"/>
        </w:rPr>
        <w:t>Būvniecības nozare 202</w:t>
      </w:r>
      <w:r w:rsidR="000104B1">
        <w:rPr>
          <w:sz w:val="28"/>
          <w:szCs w:val="28"/>
        </w:rPr>
        <w:t>1</w:t>
      </w:r>
      <w:r>
        <w:rPr>
          <w:sz w:val="28"/>
          <w:szCs w:val="28"/>
        </w:rPr>
        <w:t xml:space="preserve">. gada </w:t>
      </w:r>
      <w:r w:rsidR="000104B1">
        <w:rPr>
          <w:sz w:val="28"/>
          <w:szCs w:val="28"/>
        </w:rPr>
        <w:t>beigās</w:t>
      </w:r>
      <w:r>
        <w:rPr>
          <w:sz w:val="28"/>
          <w:szCs w:val="28"/>
        </w:rPr>
        <w:t xml:space="preserve"> sāka atkopties no Covid-19 pandēmijas ietekmes un tās darbība sāka stabilizēties. Taču </w:t>
      </w:r>
      <w:r w:rsidR="00E97947">
        <w:rPr>
          <w:sz w:val="28"/>
          <w:szCs w:val="28"/>
        </w:rPr>
        <w:t>2022.gada 24.februārī uzsākt</w:t>
      </w:r>
      <w:r w:rsidR="00F1532A">
        <w:rPr>
          <w:sz w:val="28"/>
          <w:szCs w:val="28"/>
        </w:rPr>
        <w:t>ā</w:t>
      </w:r>
      <w:r w:rsidR="00E97947">
        <w:rPr>
          <w:sz w:val="28"/>
          <w:szCs w:val="28"/>
        </w:rPr>
        <w:t xml:space="preserve"> </w:t>
      </w:r>
      <w:r>
        <w:rPr>
          <w:sz w:val="28"/>
          <w:szCs w:val="28"/>
        </w:rPr>
        <w:t>Krievijas militārā agresija pret Ukrainu</w:t>
      </w:r>
      <w:r w:rsidR="00E97947">
        <w:rPr>
          <w:sz w:val="28"/>
          <w:szCs w:val="28"/>
        </w:rPr>
        <w:t xml:space="preserve"> radīja nozarei būtisku negatīvu ietekmi</w:t>
      </w:r>
      <w:r w:rsidR="00A32132">
        <w:rPr>
          <w:sz w:val="28"/>
          <w:szCs w:val="28"/>
        </w:rPr>
        <w:t xml:space="preserve">, </w:t>
      </w:r>
      <w:r w:rsidR="005209F7">
        <w:rPr>
          <w:sz w:val="28"/>
          <w:szCs w:val="28"/>
        </w:rPr>
        <w:t>izrais</w:t>
      </w:r>
      <w:r w:rsidR="00E97947">
        <w:rPr>
          <w:sz w:val="28"/>
          <w:szCs w:val="28"/>
        </w:rPr>
        <w:t>ot</w:t>
      </w:r>
      <w:r w:rsidR="005209F7">
        <w:rPr>
          <w:sz w:val="28"/>
          <w:szCs w:val="28"/>
        </w:rPr>
        <w:t xml:space="preserve"> strauju un neprognozējamu būvizstrādājumu cenu </w:t>
      </w:r>
      <w:r w:rsidR="00E97947">
        <w:rPr>
          <w:sz w:val="28"/>
          <w:szCs w:val="28"/>
        </w:rPr>
        <w:t>kāpumu</w:t>
      </w:r>
      <w:r w:rsidR="005209F7">
        <w:rPr>
          <w:sz w:val="28"/>
          <w:szCs w:val="28"/>
        </w:rPr>
        <w:t xml:space="preserve">, </w:t>
      </w:r>
      <w:r w:rsidR="00E97947">
        <w:rPr>
          <w:sz w:val="28"/>
          <w:szCs w:val="28"/>
        </w:rPr>
        <w:t xml:space="preserve">kā arī </w:t>
      </w:r>
      <w:r w:rsidR="005209F7">
        <w:rPr>
          <w:sz w:val="28"/>
          <w:szCs w:val="28"/>
        </w:rPr>
        <w:t>atsevišķu būvizstrādājumu nepieejamību</w:t>
      </w:r>
      <w:r w:rsidR="00CC27A4">
        <w:rPr>
          <w:sz w:val="28"/>
          <w:szCs w:val="28"/>
        </w:rPr>
        <w:t>. Atsevišķos objektos negatīv</w:t>
      </w:r>
      <w:r w:rsidR="00381660">
        <w:rPr>
          <w:sz w:val="28"/>
          <w:szCs w:val="28"/>
        </w:rPr>
        <w:t xml:space="preserve">o </w:t>
      </w:r>
      <w:r w:rsidR="00CC27A4">
        <w:rPr>
          <w:sz w:val="28"/>
          <w:szCs w:val="28"/>
        </w:rPr>
        <w:t>ietekm</w:t>
      </w:r>
      <w:r w:rsidR="00381660">
        <w:rPr>
          <w:sz w:val="28"/>
          <w:szCs w:val="28"/>
        </w:rPr>
        <w:t xml:space="preserve">i rada no Ukrainas ievesta darbaspēka aizplūšana uz Ukrainu, kas objekta ietvaros ir būtiska. Taču nozares griezumā šāda nosūtīto darbinieku atgriešanās šobrīd neatstāj būtiskas sekas. </w:t>
      </w:r>
      <w:r w:rsidR="005209F7">
        <w:rPr>
          <w:sz w:val="28"/>
          <w:szCs w:val="28"/>
        </w:rPr>
        <w:t xml:space="preserve"> </w:t>
      </w:r>
    </w:p>
    <w:p w14:paraId="1E61B010" w14:textId="77777777" w:rsidR="00EC448B" w:rsidRPr="00EC448B" w:rsidRDefault="00EC448B" w:rsidP="00EC448B">
      <w:pPr>
        <w:ind w:firstLine="567"/>
        <w:jc w:val="both"/>
        <w:rPr>
          <w:sz w:val="28"/>
          <w:szCs w:val="28"/>
        </w:rPr>
      </w:pPr>
      <w:r w:rsidRPr="00EC448B">
        <w:rPr>
          <w:sz w:val="28"/>
          <w:szCs w:val="28"/>
        </w:rPr>
        <w:t>Būvizstrādājumu pieejamību, kā arī cenu kāpumu ietekmēja 2 faktori:</w:t>
      </w:r>
    </w:p>
    <w:p w14:paraId="24AC2311" w14:textId="77777777" w:rsidR="00EC448B" w:rsidRPr="00EC448B" w:rsidRDefault="00EC448B" w:rsidP="00EC448B">
      <w:pPr>
        <w:ind w:firstLine="567"/>
        <w:jc w:val="both"/>
        <w:rPr>
          <w:sz w:val="28"/>
          <w:szCs w:val="28"/>
        </w:rPr>
      </w:pPr>
      <w:r w:rsidRPr="00EC448B">
        <w:rPr>
          <w:sz w:val="28"/>
          <w:szCs w:val="28"/>
        </w:rPr>
        <w:t>1)</w:t>
      </w:r>
      <w:r w:rsidRPr="00EC448B">
        <w:rPr>
          <w:sz w:val="28"/>
          <w:szCs w:val="28"/>
        </w:rPr>
        <w:tab/>
        <w:t xml:space="preserve">kara darbības rezultātā preču imports no Ukrainas būtiski saruka, rūpnīcas ir slēgtas, uzņēmumi apturējuši ražošanas procesus, nav iespējama saražoto preču piegāde; </w:t>
      </w:r>
    </w:p>
    <w:p w14:paraId="7BDBFC15" w14:textId="1BEE33ED" w:rsidR="00EC448B" w:rsidRDefault="00EC448B" w:rsidP="00EC448B">
      <w:pPr>
        <w:ind w:firstLine="567"/>
        <w:jc w:val="both"/>
        <w:rPr>
          <w:sz w:val="28"/>
          <w:szCs w:val="28"/>
        </w:rPr>
      </w:pPr>
      <w:r w:rsidRPr="00EC448B">
        <w:rPr>
          <w:sz w:val="28"/>
          <w:szCs w:val="28"/>
        </w:rPr>
        <w:t>2)</w:t>
      </w:r>
      <w:r w:rsidRPr="00EC448B">
        <w:rPr>
          <w:sz w:val="28"/>
          <w:szCs w:val="28"/>
        </w:rPr>
        <w:tab/>
        <w:t>pasaules tirgus reakcija uz Krievijas Federācijas īstenoto iebrukumu Ukrainā, kam sekoja Eiropas Savienības ieviestas sankcijas. 2022.gada  2.martā pieņemta Padomes Regula (ES) 2022/355</w:t>
      </w:r>
      <w:r w:rsidR="00F1532A">
        <w:rPr>
          <w:sz w:val="28"/>
          <w:szCs w:val="28"/>
        </w:rPr>
        <w:t>,</w:t>
      </w:r>
      <w:r w:rsidRPr="00EC448B">
        <w:rPr>
          <w:sz w:val="28"/>
          <w:szCs w:val="28"/>
        </w:rPr>
        <w:t xml:space="preserve"> ar ko groza regulu (EK) Nr.765/2006 par ierobežojošiem pasākumiem attiecībā uz Baltkrieviju, kas aizliedz koksnes un cementa izstrādājumu importu uz Eiropas Savienības valstīm, ja to izcelsme ir Baltkrievija vai tie tiek eksportēti no Baltkrievijas. Tāpat ir aizliegts tieši vai netieši iepirkt  koksnes un cementa izstrādājumus, kas atrodas Baltkrievijā vai ir Baltkrievijas izcelsmes izstrādājumu, kā arī transportēt šos izstrādājumus uz citām valstīm. Līdzīgi ierobežojumi tiek ieviesti attiecībā uz dzelzs un tērauda izstrādājumu importu no Krievijas. Sankcijas padara būvizstrādājumu importu no šim valstīm par neiespējamu.</w:t>
      </w:r>
    </w:p>
    <w:p w14:paraId="09D2D867" w14:textId="1839F2FC" w:rsidR="00A32132" w:rsidRDefault="00C4006A" w:rsidP="009863B7">
      <w:pPr>
        <w:ind w:firstLine="567"/>
        <w:jc w:val="both"/>
        <w:rPr>
          <w:sz w:val="28"/>
          <w:szCs w:val="28"/>
        </w:rPr>
      </w:pPr>
      <w:r>
        <w:rPr>
          <w:sz w:val="28"/>
          <w:szCs w:val="28"/>
        </w:rPr>
        <w:t xml:space="preserve">Vislielākās problēmas ir novērotas attiecībā uz tērauda, koka un betona </w:t>
      </w:r>
      <w:r w:rsidR="00E13B4E">
        <w:rPr>
          <w:sz w:val="28"/>
          <w:szCs w:val="28"/>
        </w:rPr>
        <w:t xml:space="preserve">un bitumena </w:t>
      </w:r>
      <w:r>
        <w:rPr>
          <w:sz w:val="28"/>
          <w:szCs w:val="28"/>
        </w:rPr>
        <w:t>pieejamību, kas vēsturiski lielos apjomos tika importēt</w:t>
      </w:r>
      <w:r w:rsidR="00582705">
        <w:rPr>
          <w:sz w:val="28"/>
          <w:szCs w:val="28"/>
        </w:rPr>
        <w:t>i</w:t>
      </w:r>
      <w:r>
        <w:rPr>
          <w:sz w:val="28"/>
          <w:szCs w:val="28"/>
        </w:rPr>
        <w:t xml:space="preserve"> no kara skartajām valstīm. </w:t>
      </w:r>
      <w:r w:rsidRPr="00C4006A">
        <w:rPr>
          <w:sz w:val="28"/>
          <w:szCs w:val="28"/>
        </w:rPr>
        <w:t>No Krievijas galvenokārt tika importēts dzelzs, tērauds un to izstrādājumi, bet no Baltkrievijas un Ukrainas – koks un koka izstrādājumi, kokogle</w:t>
      </w:r>
      <w:r w:rsidR="00E97947">
        <w:rPr>
          <w:sz w:val="28"/>
          <w:szCs w:val="28"/>
        </w:rPr>
        <w:t xml:space="preserve"> (attēls Nr. 2)</w:t>
      </w:r>
      <w:r w:rsidRPr="00C4006A">
        <w:rPr>
          <w:sz w:val="28"/>
          <w:szCs w:val="28"/>
        </w:rPr>
        <w:t>.</w:t>
      </w:r>
    </w:p>
    <w:p w14:paraId="5A52A66C" w14:textId="77777777" w:rsidR="00EC448B" w:rsidRDefault="00EC448B" w:rsidP="00EC448B">
      <w:pPr>
        <w:ind w:firstLine="567"/>
        <w:jc w:val="center"/>
        <w:rPr>
          <w:sz w:val="28"/>
          <w:szCs w:val="28"/>
        </w:rPr>
      </w:pPr>
    </w:p>
    <w:p w14:paraId="07C35108" w14:textId="28D51B10" w:rsidR="00C4006A" w:rsidRDefault="00C4006A" w:rsidP="00EC448B">
      <w:pPr>
        <w:ind w:firstLine="567"/>
        <w:jc w:val="center"/>
        <w:rPr>
          <w:sz w:val="28"/>
          <w:szCs w:val="28"/>
        </w:rPr>
      </w:pPr>
      <w:r>
        <w:rPr>
          <w:sz w:val="28"/>
          <w:szCs w:val="28"/>
        </w:rPr>
        <w:t>Attēls Nr. 2</w:t>
      </w:r>
      <w:r w:rsidR="00EC448B">
        <w:rPr>
          <w:sz w:val="28"/>
          <w:szCs w:val="28"/>
        </w:rPr>
        <w:t xml:space="preserve"> </w:t>
      </w:r>
      <w:r w:rsidRPr="00C4006A">
        <w:rPr>
          <w:sz w:val="28"/>
          <w:szCs w:val="28"/>
        </w:rPr>
        <w:t>Latvijas būvniecības un pārējo nozaru 6 nozīmīgāko būvmateriālu un izejvielu imports no Krievijas, Baltkrievijas un Ukrainas</w:t>
      </w:r>
      <w:r w:rsidR="006275EC">
        <w:rPr>
          <w:rStyle w:val="FootnoteReference"/>
          <w:sz w:val="28"/>
          <w:szCs w:val="28"/>
        </w:rPr>
        <w:footnoteReference w:id="3"/>
      </w:r>
    </w:p>
    <w:p w14:paraId="4C3A76BF" w14:textId="60D8D0B4" w:rsidR="00C4006A" w:rsidRPr="00C4006A" w:rsidRDefault="00C4006A" w:rsidP="00C4006A">
      <w:pPr>
        <w:rPr>
          <w:color w:val="548DD4" w:themeColor="text2" w:themeTint="99"/>
          <w:sz w:val="24"/>
        </w:rPr>
      </w:pPr>
      <w:r w:rsidRPr="00C4006A">
        <w:rPr>
          <w:color w:val="548DD4" w:themeColor="text2" w:themeTint="99"/>
          <w:sz w:val="24"/>
        </w:rPr>
        <w:t>Importa apjoms (milj. tonnas)</w:t>
      </w:r>
    </w:p>
    <w:p w14:paraId="738EAF91" w14:textId="10D0E40D" w:rsidR="00C4006A" w:rsidRDefault="00C4006A" w:rsidP="00C4006A">
      <w:pPr>
        <w:jc w:val="center"/>
        <w:rPr>
          <w:sz w:val="28"/>
          <w:szCs w:val="28"/>
        </w:rPr>
      </w:pPr>
      <w:r>
        <w:rPr>
          <w:noProof/>
        </w:rPr>
        <w:drawing>
          <wp:inline distT="0" distB="0" distL="0" distR="0" wp14:anchorId="47F718E0" wp14:editId="01DF4583">
            <wp:extent cx="5760720" cy="1188720"/>
            <wp:effectExtent l="0" t="0" r="0" b="0"/>
            <wp:docPr id="6" name="Picture 5">
              <a:extLst xmlns:a="http://schemas.openxmlformats.org/drawingml/2006/main">
                <a:ext uri="{FF2B5EF4-FFF2-40B4-BE49-F238E27FC236}">
                  <a16:creationId xmlns:a16="http://schemas.microsoft.com/office/drawing/2014/main" id="{567E1B1A-A5A7-4FD7-952E-9DA62DC7DB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67E1B1A-A5A7-4FD7-952E-9DA62DC7DB60}"/>
                        </a:ext>
                      </a:extLst>
                    </pic:cNvPr>
                    <pic:cNvPicPr>
                      <a:picLocks noChangeAspect="1"/>
                    </pic:cNvPicPr>
                  </pic:nvPicPr>
                  <pic:blipFill>
                    <a:blip r:embed="rId12"/>
                    <a:stretch>
                      <a:fillRect/>
                    </a:stretch>
                  </pic:blipFill>
                  <pic:spPr>
                    <a:xfrm>
                      <a:off x="0" y="0"/>
                      <a:ext cx="5760720" cy="1188720"/>
                    </a:xfrm>
                    <a:prstGeom prst="rect">
                      <a:avLst/>
                    </a:prstGeom>
                  </pic:spPr>
                </pic:pic>
              </a:graphicData>
            </a:graphic>
          </wp:inline>
        </w:drawing>
      </w:r>
    </w:p>
    <w:p w14:paraId="38C9939A" w14:textId="20E7E1F8" w:rsidR="00C4006A" w:rsidRDefault="00C4006A" w:rsidP="00C4006A">
      <w:pPr>
        <w:rPr>
          <w:sz w:val="28"/>
          <w:szCs w:val="28"/>
        </w:rPr>
      </w:pPr>
    </w:p>
    <w:p w14:paraId="7AD49F23" w14:textId="49E9FCD2" w:rsidR="00E80E9C" w:rsidRDefault="00E80E9C" w:rsidP="00C4006A">
      <w:pPr>
        <w:rPr>
          <w:sz w:val="28"/>
          <w:szCs w:val="28"/>
        </w:rPr>
      </w:pPr>
    </w:p>
    <w:p w14:paraId="3094EEEA" w14:textId="5C9E4CB1" w:rsidR="00E80E9C" w:rsidRDefault="00E80E9C" w:rsidP="00C4006A">
      <w:pPr>
        <w:rPr>
          <w:sz w:val="28"/>
          <w:szCs w:val="28"/>
        </w:rPr>
      </w:pPr>
    </w:p>
    <w:p w14:paraId="3FF0F94B" w14:textId="77777777" w:rsidR="00E80E9C" w:rsidRDefault="00E80E9C" w:rsidP="00C4006A">
      <w:pPr>
        <w:rPr>
          <w:sz w:val="28"/>
          <w:szCs w:val="28"/>
        </w:rPr>
      </w:pPr>
    </w:p>
    <w:p w14:paraId="29F03401" w14:textId="1946498F" w:rsidR="00C4006A" w:rsidRPr="00C4006A" w:rsidRDefault="00C4006A" w:rsidP="00C4006A">
      <w:pPr>
        <w:rPr>
          <w:color w:val="548DD4" w:themeColor="text2" w:themeTint="99"/>
          <w:sz w:val="24"/>
        </w:rPr>
      </w:pPr>
      <w:r>
        <w:rPr>
          <w:color w:val="548DD4" w:themeColor="text2" w:themeTint="99"/>
          <w:sz w:val="24"/>
        </w:rPr>
        <w:t>Importa apjoms (milj. euro)</w:t>
      </w:r>
    </w:p>
    <w:p w14:paraId="46B42381" w14:textId="52B99559" w:rsidR="00C4006A" w:rsidRDefault="00C4006A" w:rsidP="00C4006A">
      <w:pPr>
        <w:rPr>
          <w:sz w:val="28"/>
          <w:szCs w:val="28"/>
        </w:rPr>
      </w:pPr>
      <w:r>
        <w:rPr>
          <w:noProof/>
        </w:rPr>
        <w:drawing>
          <wp:inline distT="0" distB="0" distL="0" distR="0" wp14:anchorId="34A3512C" wp14:editId="40E205BF">
            <wp:extent cx="5760720" cy="1188720"/>
            <wp:effectExtent l="0" t="0" r="0" b="0"/>
            <wp:docPr id="7" name="Picture 6">
              <a:extLst xmlns:a="http://schemas.openxmlformats.org/drawingml/2006/main">
                <a:ext uri="{FF2B5EF4-FFF2-40B4-BE49-F238E27FC236}">
                  <a16:creationId xmlns:a16="http://schemas.microsoft.com/office/drawing/2014/main" id="{418B57E7-02F8-48BC-B4F1-29025EEAA1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18B57E7-02F8-48BC-B4F1-29025EEAA198}"/>
                        </a:ext>
                      </a:extLst>
                    </pic:cNvPr>
                    <pic:cNvPicPr>
                      <a:picLocks noChangeAspect="1"/>
                    </pic:cNvPicPr>
                  </pic:nvPicPr>
                  <pic:blipFill>
                    <a:blip r:embed="rId13"/>
                    <a:stretch>
                      <a:fillRect/>
                    </a:stretch>
                  </pic:blipFill>
                  <pic:spPr>
                    <a:xfrm>
                      <a:off x="0" y="0"/>
                      <a:ext cx="5760720" cy="1188720"/>
                    </a:xfrm>
                    <a:prstGeom prst="rect">
                      <a:avLst/>
                    </a:prstGeom>
                  </pic:spPr>
                </pic:pic>
              </a:graphicData>
            </a:graphic>
          </wp:inline>
        </w:drawing>
      </w:r>
    </w:p>
    <w:p w14:paraId="66B7926E" w14:textId="5B5345FF" w:rsidR="00C4006A" w:rsidRDefault="00C4006A" w:rsidP="00C4006A">
      <w:pPr>
        <w:jc w:val="center"/>
        <w:rPr>
          <w:sz w:val="28"/>
          <w:szCs w:val="28"/>
        </w:rPr>
      </w:pPr>
    </w:p>
    <w:p w14:paraId="0059A08D" w14:textId="77964814" w:rsidR="009E1872" w:rsidRDefault="00C079C1" w:rsidP="00EC448B">
      <w:pPr>
        <w:ind w:firstLine="567"/>
        <w:jc w:val="both"/>
        <w:rPr>
          <w:sz w:val="28"/>
          <w:szCs w:val="28"/>
        </w:rPr>
      </w:pPr>
      <w:r>
        <w:rPr>
          <w:sz w:val="28"/>
          <w:szCs w:val="28"/>
        </w:rPr>
        <w:tab/>
      </w:r>
      <w:r w:rsidR="009E1872">
        <w:rPr>
          <w:sz w:val="28"/>
          <w:szCs w:val="28"/>
        </w:rPr>
        <w:t xml:space="preserve"> </w:t>
      </w:r>
    </w:p>
    <w:p w14:paraId="612D2069" w14:textId="2C8B551D" w:rsidR="00577029" w:rsidRDefault="00EC448B" w:rsidP="009566A7">
      <w:pPr>
        <w:ind w:firstLine="567"/>
        <w:jc w:val="both"/>
        <w:rPr>
          <w:sz w:val="28"/>
          <w:szCs w:val="28"/>
        </w:rPr>
      </w:pPr>
      <w:r>
        <w:rPr>
          <w:sz w:val="28"/>
          <w:szCs w:val="28"/>
        </w:rPr>
        <w:t>Īpaši smaga</w:t>
      </w:r>
      <w:r w:rsidR="00A24DFF">
        <w:rPr>
          <w:sz w:val="28"/>
          <w:szCs w:val="28"/>
        </w:rPr>
        <w:t xml:space="preserve"> situācija </w:t>
      </w:r>
      <w:r>
        <w:rPr>
          <w:sz w:val="28"/>
          <w:szCs w:val="28"/>
        </w:rPr>
        <w:t>izveidojas</w:t>
      </w:r>
      <w:r w:rsidR="00A24DFF">
        <w:rPr>
          <w:sz w:val="28"/>
          <w:szCs w:val="28"/>
        </w:rPr>
        <w:t xml:space="preserve"> tērauda un citu metālizstrādājumu piegādēm, ņemot vērā, ka Latvijā nav savas </w:t>
      </w:r>
      <w:r w:rsidR="00577029">
        <w:rPr>
          <w:sz w:val="28"/>
          <w:szCs w:val="28"/>
        </w:rPr>
        <w:t xml:space="preserve">tērauda ražošanas, kā arī sankcijām ir pakļauts vienīgais Baltijas valstu servisa centrs, kas veica augstas pievienotās vērtības metālizstrādājumu ražošanu. </w:t>
      </w:r>
      <w:r w:rsidR="009566A7">
        <w:rPr>
          <w:sz w:val="28"/>
          <w:szCs w:val="28"/>
        </w:rPr>
        <w:t xml:space="preserve">Latvija importē visus tautsaimniecībai nepieciešamos tērauda un dzelzs izstrādājumus. </w:t>
      </w:r>
    </w:p>
    <w:p w14:paraId="346B0E75" w14:textId="65A8E711" w:rsidR="009566A7" w:rsidRDefault="009566A7" w:rsidP="009566A7">
      <w:pPr>
        <w:ind w:firstLine="567"/>
        <w:jc w:val="right"/>
        <w:rPr>
          <w:sz w:val="28"/>
          <w:szCs w:val="28"/>
        </w:rPr>
      </w:pPr>
      <w:r>
        <w:rPr>
          <w:sz w:val="28"/>
          <w:szCs w:val="28"/>
        </w:rPr>
        <w:t>Attēls Nr. 3</w:t>
      </w:r>
      <w:r w:rsidR="006275EC">
        <w:rPr>
          <w:rStyle w:val="FootnoteReference"/>
          <w:sz w:val="28"/>
          <w:szCs w:val="28"/>
        </w:rPr>
        <w:footnoteReference w:id="4"/>
      </w:r>
    </w:p>
    <w:p w14:paraId="3DA5D403" w14:textId="16BE80EC" w:rsidR="00577029" w:rsidRPr="009566A7" w:rsidRDefault="009566A7" w:rsidP="009566A7">
      <w:pPr>
        <w:jc w:val="center"/>
        <w:rPr>
          <w:color w:val="548DD4" w:themeColor="text2" w:themeTint="99"/>
          <w:sz w:val="24"/>
        </w:rPr>
      </w:pPr>
      <w:r w:rsidRPr="009566A7">
        <w:rPr>
          <w:color w:val="548DD4" w:themeColor="text2" w:themeTint="99"/>
          <w:sz w:val="24"/>
        </w:rPr>
        <w:t>TOP 5 valstis, no kurām Latvija importē TOP 5 metāla izstrādājumus (2017 2021)</w:t>
      </w:r>
    </w:p>
    <w:p w14:paraId="40FBB961" w14:textId="3776700E" w:rsidR="00577029" w:rsidRDefault="009566A7" w:rsidP="009566A7">
      <w:pPr>
        <w:ind w:firstLine="567"/>
        <w:rPr>
          <w:sz w:val="28"/>
          <w:szCs w:val="28"/>
        </w:rPr>
      </w:pPr>
      <w:r w:rsidRPr="00577029">
        <w:rPr>
          <w:noProof/>
          <w:sz w:val="28"/>
          <w:szCs w:val="28"/>
        </w:rPr>
        <w:drawing>
          <wp:anchor distT="0" distB="0" distL="114300" distR="114300" simplePos="0" relativeHeight="251658240" behindDoc="0" locked="0" layoutInCell="1" allowOverlap="1" wp14:anchorId="0122DF50" wp14:editId="7A47AD52">
            <wp:simplePos x="0" y="0"/>
            <wp:positionH relativeFrom="margin">
              <wp:align>center</wp:align>
            </wp:positionH>
            <wp:positionV relativeFrom="paragraph">
              <wp:posOffset>6350</wp:posOffset>
            </wp:positionV>
            <wp:extent cx="4489450" cy="9906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9450" cy="990600"/>
                    </a:xfrm>
                    <a:prstGeom prst="rect">
                      <a:avLst/>
                    </a:prstGeom>
                    <a:noFill/>
                    <a:ln>
                      <a:noFill/>
                    </a:ln>
                  </pic:spPr>
                </pic:pic>
              </a:graphicData>
            </a:graphic>
          </wp:anchor>
        </w:drawing>
      </w:r>
      <w:r>
        <w:rPr>
          <w:sz w:val="28"/>
          <w:szCs w:val="28"/>
        </w:rPr>
        <w:br w:type="textWrapping" w:clear="all"/>
      </w:r>
    </w:p>
    <w:p w14:paraId="4C2218D8" w14:textId="5DFA201D" w:rsidR="001A55AD" w:rsidRDefault="0050635F" w:rsidP="001A55AD">
      <w:pPr>
        <w:ind w:firstLine="567"/>
        <w:jc w:val="both"/>
        <w:rPr>
          <w:sz w:val="28"/>
          <w:szCs w:val="28"/>
        </w:rPr>
      </w:pPr>
      <w:r>
        <w:rPr>
          <w:sz w:val="28"/>
          <w:szCs w:val="28"/>
        </w:rPr>
        <w:t>Būvkomersanti šobrīd ziņo par vismaz 142 sortimenta vienību nepieejamību</w:t>
      </w:r>
      <w:r w:rsidR="00EC448B">
        <w:rPr>
          <w:sz w:val="28"/>
          <w:szCs w:val="28"/>
        </w:rPr>
        <w:t>, partneri nespēj nodrošināt regulāras piegādes.</w:t>
      </w:r>
      <w:r>
        <w:rPr>
          <w:sz w:val="28"/>
          <w:szCs w:val="28"/>
        </w:rPr>
        <w:t xml:space="preserve"> Koka un koka izstrādājumu jomā pieejamība traucēta apdares dēļiem, </w:t>
      </w:r>
      <w:proofErr w:type="spellStart"/>
      <w:r>
        <w:rPr>
          <w:sz w:val="28"/>
          <w:szCs w:val="28"/>
        </w:rPr>
        <w:t>zaģmateriāliem</w:t>
      </w:r>
      <w:proofErr w:type="spellEnd"/>
      <w:r>
        <w:rPr>
          <w:sz w:val="28"/>
          <w:szCs w:val="28"/>
        </w:rPr>
        <w:t>, saplāksnim, finierētām loksnēm</w:t>
      </w:r>
      <w:r w:rsidR="00003A35">
        <w:rPr>
          <w:sz w:val="28"/>
          <w:szCs w:val="28"/>
        </w:rPr>
        <w:t xml:space="preserve">, OSB, MDS un citām plātņu materiāliem, </w:t>
      </w:r>
      <w:proofErr w:type="spellStart"/>
      <w:r w:rsidR="00003A35">
        <w:rPr>
          <w:sz w:val="28"/>
          <w:szCs w:val="28"/>
        </w:rPr>
        <w:t>būvķīmijas</w:t>
      </w:r>
      <w:proofErr w:type="spellEnd"/>
      <w:r w:rsidR="00003A35">
        <w:rPr>
          <w:sz w:val="28"/>
          <w:szCs w:val="28"/>
        </w:rPr>
        <w:t xml:space="preserve"> jomā</w:t>
      </w:r>
      <w:r w:rsidR="00EC448B">
        <w:rPr>
          <w:sz w:val="28"/>
          <w:szCs w:val="28"/>
        </w:rPr>
        <w:t xml:space="preserve"> -</w:t>
      </w:r>
      <w:r w:rsidR="00003A35">
        <w:rPr>
          <w:sz w:val="28"/>
          <w:szCs w:val="28"/>
        </w:rPr>
        <w:t xml:space="preserve"> </w:t>
      </w:r>
      <w:proofErr w:type="spellStart"/>
      <w:r w:rsidR="00003A35">
        <w:rPr>
          <w:sz w:val="28"/>
          <w:szCs w:val="28"/>
        </w:rPr>
        <w:t>epoksīda</w:t>
      </w:r>
      <w:proofErr w:type="spellEnd"/>
      <w:r w:rsidR="00003A35">
        <w:rPr>
          <w:sz w:val="28"/>
          <w:szCs w:val="28"/>
        </w:rPr>
        <w:t xml:space="preserve"> bāzes materiāli</w:t>
      </w:r>
      <w:r w:rsidR="001A55AD">
        <w:rPr>
          <w:sz w:val="28"/>
          <w:szCs w:val="28"/>
        </w:rPr>
        <w:t>em</w:t>
      </w:r>
      <w:r w:rsidR="00003A35">
        <w:rPr>
          <w:sz w:val="28"/>
          <w:szCs w:val="28"/>
        </w:rPr>
        <w:t>, cementa piedev</w:t>
      </w:r>
      <w:r w:rsidR="001A55AD">
        <w:rPr>
          <w:sz w:val="28"/>
          <w:szCs w:val="28"/>
        </w:rPr>
        <w:t>ām</w:t>
      </w:r>
      <w:r w:rsidR="00003A35">
        <w:rPr>
          <w:sz w:val="28"/>
          <w:szCs w:val="28"/>
        </w:rPr>
        <w:t>, līm</w:t>
      </w:r>
      <w:r w:rsidR="001A55AD">
        <w:rPr>
          <w:sz w:val="28"/>
          <w:szCs w:val="28"/>
        </w:rPr>
        <w:t>ēm</w:t>
      </w:r>
      <w:r w:rsidR="00003A35">
        <w:rPr>
          <w:sz w:val="28"/>
          <w:szCs w:val="28"/>
        </w:rPr>
        <w:t xml:space="preserve">, </w:t>
      </w:r>
      <w:proofErr w:type="spellStart"/>
      <w:r w:rsidR="00003A35">
        <w:rPr>
          <w:sz w:val="28"/>
          <w:szCs w:val="28"/>
        </w:rPr>
        <w:t>minerālproduktu</w:t>
      </w:r>
      <w:proofErr w:type="spellEnd"/>
      <w:r w:rsidR="00003A35">
        <w:rPr>
          <w:sz w:val="28"/>
          <w:szCs w:val="28"/>
        </w:rPr>
        <w:t xml:space="preserve"> </w:t>
      </w:r>
      <w:r w:rsidR="001A55AD">
        <w:rPr>
          <w:sz w:val="28"/>
          <w:szCs w:val="28"/>
        </w:rPr>
        <w:t xml:space="preserve">jomā – bitumena maisījumiem, akmenim, minerālu izstrādājumu jomā – bruģakmenim, apmalēm, </w:t>
      </w:r>
      <w:r w:rsidR="000104B1">
        <w:rPr>
          <w:sz w:val="28"/>
          <w:szCs w:val="28"/>
        </w:rPr>
        <w:t>minerālvatei</w:t>
      </w:r>
      <w:r w:rsidR="001A55AD">
        <w:rPr>
          <w:sz w:val="28"/>
          <w:szCs w:val="28"/>
        </w:rPr>
        <w:t xml:space="preserve">, asfalta izstrādājumiem, ģipša bāzes izstrādājumiem. </w:t>
      </w:r>
      <w:r w:rsidR="000F5F2E">
        <w:rPr>
          <w:sz w:val="28"/>
          <w:szCs w:val="28"/>
        </w:rPr>
        <w:t xml:space="preserve">Šobrīd tirgū </w:t>
      </w:r>
      <w:r w:rsidR="00EC448B">
        <w:rPr>
          <w:sz w:val="28"/>
          <w:szCs w:val="28"/>
        </w:rPr>
        <w:t xml:space="preserve">akūts trūkums novērots </w:t>
      </w:r>
      <w:r w:rsidR="000F5F2E">
        <w:rPr>
          <w:sz w:val="28"/>
          <w:szCs w:val="28"/>
        </w:rPr>
        <w:t>49 būvizstrādājumu pozīcijām, tai skaitā tērauda</w:t>
      </w:r>
      <w:r w:rsidR="00EC448B">
        <w:rPr>
          <w:sz w:val="28"/>
          <w:szCs w:val="28"/>
        </w:rPr>
        <w:t xml:space="preserve"> stiegrojumam</w:t>
      </w:r>
      <w:r w:rsidR="000F5F2E">
        <w:rPr>
          <w:sz w:val="28"/>
          <w:szCs w:val="28"/>
        </w:rPr>
        <w:t>, alumīnija</w:t>
      </w:r>
      <w:r w:rsidR="00EC448B">
        <w:rPr>
          <w:sz w:val="28"/>
          <w:szCs w:val="28"/>
        </w:rPr>
        <w:t>m</w:t>
      </w:r>
      <w:r w:rsidR="000F5F2E">
        <w:rPr>
          <w:sz w:val="28"/>
          <w:szCs w:val="28"/>
        </w:rPr>
        <w:t xml:space="preserve">, kaparam, konstrukciju profiliem. </w:t>
      </w:r>
    </w:p>
    <w:p w14:paraId="4881C97B" w14:textId="21609A4A" w:rsidR="00416A9A" w:rsidRPr="00416A9A" w:rsidRDefault="00EC448B" w:rsidP="00416A9A">
      <w:pPr>
        <w:ind w:firstLine="567"/>
        <w:jc w:val="both"/>
        <w:rPr>
          <w:sz w:val="28"/>
          <w:szCs w:val="28"/>
        </w:rPr>
      </w:pPr>
      <w:r>
        <w:rPr>
          <w:sz w:val="28"/>
          <w:szCs w:val="28"/>
        </w:rPr>
        <w:t xml:space="preserve">Biedrība “Latvijas Būvuzņēmēju partnerība” savā 2022.gada 4.martā vēstulē Nr. </w:t>
      </w:r>
      <w:r w:rsidRPr="00EC448B">
        <w:rPr>
          <w:sz w:val="28"/>
          <w:szCs w:val="28"/>
        </w:rPr>
        <w:t>IZ/2022-03/01</w:t>
      </w:r>
      <w:r>
        <w:rPr>
          <w:sz w:val="28"/>
          <w:szCs w:val="28"/>
        </w:rPr>
        <w:t xml:space="preserve">, norāda, ka </w:t>
      </w:r>
      <w:r w:rsidRPr="00EC448B">
        <w:rPr>
          <w:i/>
          <w:iCs/>
          <w:sz w:val="28"/>
          <w:szCs w:val="28"/>
        </w:rPr>
        <w:t>pēdējo dienu laikā esošās materiālu piegādes ķēdes ir pārtrauktas, kā arī iztrūkstot ievērojamam daudzumam būvniecībā izmantojamo materiālu – metāla, koksnes, polimēru, siltumizolācijas materiālu, ir būtiski palielinājušās to cenas – 20-200% apjomā atkarībā no materiālu grupas. Turklāt, vairāku būvmateriālu, piemēram, cementa izmaksas dēļ energoresursu straujā kāpuma sankciju un karadarbības dēļ ir augušas par vairākiem desmitiem procentu.</w:t>
      </w:r>
      <w:r>
        <w:rPr>
          <w:i/>
          <w:iCs/>
          <w:sz w:val="28"/>
          <w:szCs w:val="28"/>
        </w:rPr>
        <w:t xml:space="preserve"> </w:t>
      </w:r>
      <w:r w:rsidR="00416A9A">
        <w:rPr>
          <w:sz w:val="28"/>
          <w:szCs w:val="28"/>
        </w:rPr>
        <w:t xml:space="preserve">Savukārt </w:t>
      </w:r>
      <w:r w:rsidR="00416A9A" w:rsidRPr="000104B1">
        <w:t>SIA “Ceļu būvniecības sabiedrība “IGATE””</w:t>
      </w:r>
      <w:r w:rsidR="00416A9A">
        <w:rPr>
          <w:sz w:val="28"/>
          <w:szCs w:val="28"/>
        </w:rPr>
        <w:t xml:space="preserve"> savā </w:t>
      </w:r>
      <w:r w:rsidR="00416A9A" w:rsidRPr="00416A9A">
        <w:rPr>
          <w:sz w:val="28"/>
          <w:szCs w:val="28"/>
        </w:rPr>
        <w:t xml:space="preserve">2022.gada 17.martā </w:t>
      </w:r>
      <w:r w:rsidR="00416A9A">
        <w:rPr>
          <w:sz w:val="28"/>
          <w:szCs w:val="28"/>
        </w:rPr>
        <w:t xml:space="preserve"> vēstulē </w:t>
      </w:r>
      <w:r w:rsidR="00416A9A" w:rsidRPr="00416A9A">
        <w:rPr>
          <w:sz w:val="28"/>
          <w:szCs w:val="28"/>
        </w:rPr>
        <w:t>Nr.1-1/121</w:t>
      </w:r>
      <w:r w:rsidR="00416A9A">
        <w:rPr>
          <w:sz w:val="28"/>
          <w:szCs w:val="28"/>
        </w:rPr>
        <w:t xml:space="preserve"> </w:t>
      </w:r>
      <w:r w:rsidR="00416A9A" w:rsidRPr="00416A9A">
        <w:rPr>
          <w:i/>
          <w:iCs/>
          <w:sz w:val="28"/>
          <w:szCs w:val="28"/>
        </w:rPr>
        <w:t>Par ārkārtējiem apstākļiem</w:t>
      </w:r>
      <w:r w:rsidR="00416A9A">
        <w:rPr>
          <w:sz w:val="28"/>
          <w:szCs w:val="28"/>
        </w:rPr>
        <w:t xml:space="preserve"> informē, ka </w:t>
      </w:r>
      <w:r w:rsidR="00416A9A" w:rsidRPr="00416A9A">
        <w:rPr>
          <w:i/>
          <w:iCs/>
          <w:sz w:val="28"/>
          <w:szCs w:val="28"/>
        </w:rPr>
        <w:t xml:space="preserve">pašlaik kritiska ietekme ir uz visām ceļu un inženierbūvju </w:t>
      </w:r>
      <w:r w:rsidR="00416A9A" w:rsidRPr="00416A9A">
        <w:rPr>
          <w:i/>
          <w:iCs/>
          <w:sz w:val="28"/>
          <w:szCs w:val="28"/>
        </w:rPr>
        <w:lastRenderedPageBreak/>
        <w:t>būvniecības izmaksām, izņemot darbaspēku. Šo kritisko izmaksu apjoms nozarē ir aptuveni 70 – 80% no kopējām ceļu un tiltu būvniecības izmaksām.</w:t>
      </w:r>
    </w:p>
    <w:p w14:paraId="7ABBE916" w14:textId="39ABD87A" w:rsidR="00416A9A" w:rsidRDefault="00416A9A" w:rsidP="00416A9A">
      <w:pPr>
        <w:ind w:firstLine="567"/>
        <w:jc w:val="both"/>
      </w:pPr>
      <w:r w:rsidRPr="00416A9A">
        <w:rPr>
          <w:sz w:val="28"/>
          <w:szCs w:val="28"/>
        </w:rPr>
        <w:t xml:space="preserve">Bitumena nozare, kuras gada patēriņš ir ~100 000 metriskās tonnas, līdz šim to iepirka Krievijas Federācijā, Baltkrievijā un Polijā, kas arī to ražo no Krievijas Federācijā iegādātas naftas. Pēc </w:t>
      </w:r>
      <w:r>
        <w:rPr>
          <w:sz w:val="28"/>
          <w:szCs w:val="28"/>
        </w:rPr>
        <w:t>uzņēmuma</w:t>
      </w:r>
      <w:r w:rsidRPr="00416A9A">
        <w:rPr>
          <w:sz w:val="28"/>
          <w:szCs w:val="28"/>
        </w:rPr>
        <w:t xml:space="preserve"> rīcībā esošām ziņām, divas Polijas naftas pārstrādes rūpnīcas sakarā ar remontdarbiem ir paziņojušas par darba pārtraukšanu šā gada maijā–jūnijā. Bitumena un to saturošo produktu cena Polijā no 2021.gada līdz 2022.gada 4.martam ir pieaugusi par 37%, bet 2022.g. 7.marta piedāvājums uz nākamajām 4 dienām sasniedza 670 </w:t>
      </w:r>
      <w:proofErr w:type="spellStart"/>
      <w:r w:rsidRPr="00416A9A">
        <w:rPr>
          <w:sz w:val="28"/>
          <w:szCs w:val="28"/>
        </w:rPr>
        <w:t>Eur</w:t>
      </w:r>
      <w:proofErr w:type="spellEnd"/>
      <w:r w:rsidRPr="00416A9A">
        <w:rPr>
          <w:sz w:val="28"/>
          <w:szCs w:val="28"/>
        </w:rPr>
        <w:t xml:space="preserve">/t (Orlen), un 710 </w:t>
      </w:r>
      <w:proofErr w:type="spellStart"/>
      <w:r w:rsidRPr="00416A9A">
        <w:rPr>
          <w:sz w:val="28"/>
          <w:szCs w:val="28"/>
        </w:rPr>
        <w:t>Euro</w:t>
      </w:r>
      <w:proofErr w:type="spellEnd"/>
      <w:r w:rsidRPr="00416A9A">
        <w:rPr>
          <w:sz w:val="28"/>
          <w:szCs w:val="28"/>
        </w:rPr>
        <w:t>/t (</w:t>
      </w:r>
      <w:proofErr w:type="spellStart"/>
      <w:r w:rsidRPr="00416A9A">
        <w:rPr>
          <w:sz w:val="28"/>
          <w:szCs w:val="28"/>
        </w:rPr>
        <w:t>Lotos</w:t>
      </w:r>
      <w:proofErr w:type="spellEnd"/>
      <w:r w:rsidRPr="00416A9A">
        <w:rPr>
          <w:sz w:val="28"/>
          <w:szCs w:val="28"/>
        </w:rPr>
        <w:t>). Pie kam, nākamajam mēnesim vēl ir pieteikts cenas palielinājums par 40 Euro/t.</w:t>
      </w:r>
      <w:r w:rsidRPr="00416A9A">
        <w:t xml:space="preserve"> </w:t>
      </w:r>
    </w:p>
    <w:p w14:paraId="107A3B15" w14:textId="6B89FDE7" w:rsidR="00416A9A" w:rsidRPr="00416A9A" w:rsidRDefault="00416A9A" w:rsidP="00416A9A">
      <w:pPr>
        <w:ind w:firstLine="567"/>
        <w:jc w:val="both"/>
        <w:rPr>
          <w:sz w:val="28"/>
          <w:szCs w:val="28"/>
        </w:rPr>
      </w:pPr>
      <w:r w:rsidRPr="00416A9A">
        <w:rPr>
          <w:sz w:val="28"/>
          <w:szCs w:val="28"/>
        </w:rPr>
        <w:t xml:space="preserve">Attiecībā uz gāzes cenām, </w:t>
      </w:r>
      <w:r w:rsidR="00B43538" w:rsidRPr="00B43538">
        <w:rPr>
          <w:sz w:val="28"/>
          <w:szCs w:val="28"/>
        </w:rPr>
        <w:t>SIA “Ceļu būvniecības sabiedrība “IGATE””</w:t>
      </w:r>
      <w:r>
        <w:rPr>
          <w:sz w:val="28"/>
          <w:szCs w:val="28"/>
        </w:rPr>
        <w:t xml:space="preserve"> saņēma</w:t>
      </w:r>
      <w:r w:rsidRPr="00416A9A">
        <w:rPr>
          <w:sz w:val="28"/>
          <w:szCs w:val="28"/>
        </w:rPr>
        <w:t xml:space="preserve"> informāciju, ka iespējamā gāzes cena par vienu </w:t>
      </w:r>
      <w:proofErr w:type="spellStart"/>
      <w:r w:rsidRPr="00416A9A">
        <w:rPr>
          <w:sz w:val="28"/>
          <w:szCs w:val="28"/>
        </w:rPr>
        <w:t>MWh</w:t>
      </w:r>
      <w:proofErr w:type="spellEnd"/>
      <w:r w:rsidRPr="00416A9A">
        <w:rPr>
          <w:sz w:val="28"/>
          <w:szCs w:val="28"/>
        </w:rPr>
        <w:t xml:space="preserve"> aprīlī varētu sasniegt 300 </w:t>
      </w:r>
      <w:proofErr w:type="spellStart"/>
      <w:r w:rsidRPr="00416A9A">
        <w:rPr>
          <w:sz w:val="28"/>
          <w:szCs w:val="28"/>
        </w:rPr>
        <w:t>Euro</w:t>
      </w:r>
      <w:proofErr w:type="spellEnd"/>
      <w:r w:rsidRPr="00416A9A">
        <w:rPr>
          <w:sz w:val="28"/>
          <w:szCs w:val="28"/>
        </w:rPr>
        <w:t>, šobrīd 81,05 EUR/</w:t>
      </w:r>
      <w:proofErr w:type="spellStart"/>
      <w:r w:rsidRPr="00416A9A">
        <w:rPr>
          <w:sz w:val="28"/>
          <w:szCs w:val="28"/>
        </w:rPr>
        <w:t>MWh</w:t>
      </w:r>
      <w:proofErr w:type="spellEnd"/>
      <w:r w:rsidRPr="00416A9A">
        <w:rPr>
          <w:sz w:val="28"/>
          <w:szCs w:val="28"/>
        </w:rPr>
        <w:t xml:space="preserve">. Pie tam, neviens neuzņemas garantēti prognozēt tās tālāku dinamiku. </w:t>
      </w:r>
    </w:p>
    <w:p w14:paraId="3C394555" w14:textId="77777777" w:rsidR="00416A9A" w:rsidRPr="00416A9A" w:rsidRDefault="00416A9A" w:rsidP="00416A9A">
      <w:pPr>
        <w:ind w:firstLine="567"/>
        <w:jc w:val="both"/>
        <w:rPr>
          <w:sz w:val="28"/>
          <w:szCs w:val="28"/>
        </w:rPr>
      </w:pPr>
      <w:r w:rsidRPr="00416A9A">
        <w:rPr>
          <w:sz w:val="28"/>
          <w:szCs w:val="28"/>
        </w:rPr>
        <w:t>Līdzīga situācija ir arī ar metālizstrādājumiem, ko nozare gada laikā patērē: dažādu veidu armatūru ~20 000 tonnu un velmējumus ~4,5 tūkstošus tonnu. Līdzšinējās piegādes pēdējos 10 gados pamatā bija no Ukrainas, Baltkrievijas un Krievijas, un to cena par tonnu nedaudz svārstījās robežās +/- 800 EUR. Šobrīd kā alternatīvas iegādes vietas ir Vācija, Turcija un Itālija, tikai metāla cena par vienu tonnu svārstās robežās no 2100-2500 EUR.</w:t>
      </w:r>
    </w:p>
    <w:p w14:paraId="484ACD11" w14:textId="7C25AA43" w:rsidR="00EC448B" w:rsidRPr="00416A9A" w:rsidRDefault="00416A9A" w:rsidP="00416A9A">
      <w:pPr>
        <w:ind w:firstLine="567"/>
        <w:jc w:val="both"/>
        <w:rPr>
          <w:sz w:val="28"/>
          <w:szCs w:val="28"/>
        </w:rPr>
      </w:pPr>
      <w:r w:rsidRPr="00416A9A">
        <w:rPr>
          <w:sz w:val="28"/>
          <w:szCs w:val="28"/>
        </w:rPr>
        <w:t>Arī degvielas cenu dinamika liecina par ~40% - 50% sadārdzinājumu, salīdzinot 2022.gada marta cenas ar 2021.gada pēdējā ceturkšņa cenām. Papildus, degvielas cena būtiski ietekmē arī izejmateriālu ieguvi, ražošanu, transportēšanu un materiālu iestrādi, kur šis izšķirošais degvielas faktors ir kritisks.</w:t>
      </w:r>
    </w:p>
    <w:p w14:paraId="404141C5" w14:textId="2D7DC354" w:rsidR="00562549" w:rsidRDefault="00562549" w:rsidP="00562549">
      <w:pPr>
        <w:ind w:firstLine="567"/>
        <w:jc w:val="both"/>
        <w:rPr>
          <w:sz w:val="28"/>
          <w:szCs w:val="28"/>
        </w:rPr>
      </w:pPr>
      <w:r>
        <w:rPr>
          <w:sz w:val="28"/>
          <w:szCs w:val="28"/>
        </w:rPr>
        <w:t>Ekonomikas ministrijas rīcībā esošā informācija liecina, ka šobrīd l</w:t>
      </w:r>
      <w:r w:rsidRPr="00562549">
        <w:rPr>
          <w:sz w:val="28"/>
          <w:szCs w:val="28"/>
        </w:rPr>
        <w:t xml:space="preserve">iela daļa ražotāju </w:t>
      </w:r>
      <w:r>
        <w:rPr>
          <w:sz w:val="28"/>
          <w:szCs w:val="28"/>
        </w:rPr>
        <w:t>i</w:t>
      </w:r>
      <w:r w:rsidRPr="00562549">
        <w:rPr>
          <w:sz w:val="28"/>
          <w:szCs w:val="28"/>
        </w:rPr>
        <w:t>etur pauzi un neko</w:t>
      </w:r>
      <w:r>
        <w:rPr>
          <w:sz w:val="28"/>
          <w:szCs w:val="28"/>
        </w:rPr>
        <w:t xml:space="preserve"> </w:t>
      </w:r>
      <w:r w:rsidRPr="00562549">
        <w:rPr>
          <w:sz w:val="28"/>
          <w:szCs w:val="28"/>
        </w:rPr>
        <w:t>nepiedāvā, lai novērtētu tirgus tendences un</w:t>
      </w:r>
      <w:r>
        <w:rPr>
          <w:sz w:val="28"/>
          <w:szCs w:val="28"/>
        </w:rPr>
        <w:t xml:space="preserve"> </w:t>
      </w:r>
      <w:r w:rsidRPr="00562549">
        <w:rPr>
          <w:sz w:val="28"/>
          <w:szCs w:val="28"/>
        </w:rPr>
        <w:t>pārkārtotu izejmateriālu piegādes.</w:t>
      </w:r>
      <w:r>
        <w:rPr>
          <w:sz w:val="28"/>
          <w:szCs w:val="28"/>
        </w:rPr>
        <w:t xml:space="preserve"> </w:t>
      </w:r>
      <w:r w:rsidRPr="00562549">
        <w:rPr>
          <w:sz w:val="28"/>
          <w:szCs w:val="28"/>
        </w:rPr>
        <w:t>Materiālu</w:t>
      </w:r>
      <w:r>
        <w:rPr>
          <w:sz w:val="28"/>
          <w:szCs w:val="28"/>
        </w:rPr>
        <w:t xml:space="preserve"> </w:t>
      </w:r>
      <w:r w:rsidRPr="00562549">
        <w:rPr>
          <w:sz w:val="28"/>
          <w:szCs w:val="28"/>
        </w:rPr>
        <w:t xml:space="preserve">cenas </w:t>
      </w:r>
      <w:r>
        <w:rPr>
          <w:sz w:val="28"/>
          <w:szCs w:val="28"/>
        </w:rPr>
        <w:t xml:space="preserve">vairumtirgotāju piedāvājumos </w:t>
      </w:r>
      <w:r w:rsidRPr="00562549">
        <w:rPr>
          <w:sz w:val="28"/>
          <w:szCs w:val="28"/>
        </w:rPr>
        <w:t>derīgas 2</w:t>
      </w:r>
      <w:r>
        <w:rPr>
          <w:sz w:val="28"/>
          <w:szCs w:val="28"/>
        </w:rPr>
        <w:t xml:space="preserve"> -</w:t>
      </w:r>
      <w:r w:rsidRPr="00562549">
        <w:rPr>
          <w:sz w:val="28"/>
          <w:szCs w:val="28"/>
        </w:rPr>
        <w:t xml:space="preserve"> 3 stund</w:t>
      </w:r>
      <w:r>
        <w:rPr>
          <w:sz w:val="28"/>
          <w:szCs w:val="28"/>
        </w:rPr>
        <w:t>as</w:t>
      </w:r>
      <w:r w:rsidRPr="00562549">
        <w:rPr>
          <w:sz w:val="28"/>
          <w:szCs w:val="28"/>
        </w:rPr>
        <w:t>.</w:t>
      </w:r>
    </w:p>
    <w:p w14:paraId="1171F4D2" w14:textId="641365BA" w:rsidR="00614656" w:rsidRPr="00614656" w:rsidRDefault="00614656" w:rsidP="00614656">
      <w:pPr>
        <w:ind w:firstLine="567"/>
        <w:jc w:val="both"/>
        <w:rPr>
          <w:sz w:val="28"/>
          <w:szCs w:val="28"/>
        </w:rPr>
      </w:pPr>
      <w:r w:rsidRPr="00614656">
        <w:rPr>
          <w:sz w:val="28"/>
          <w:szCs w:val="28"/>
        </w:rPr>
        <w:t xml:space="preserve">Būvizstrādājumu piegādātāji un vairumtirgotāji ir uzsākuši pārorientēšanas procesu, meklējot sankcijām pakļauto būvizstrādājumu ražotājus citās valstīs un dibinot jaunas piegāžu ķēdes. Taču šāda pārorientācija prasīs laiku, ņemot vērā, </w:t>
      </w:r>
      <w:r w:rsidR="001863F0">
        <w:rPr>
          <w:sz w:val="28"/>
          <w:szCs w:val="28"/>
        </w:rPr>
        <w:t xml:space="preserve">Ukrainas, </w:t>
      </w:r>
      <w:r w:rsidRPr="00614656">
        <w:rPr>
          <w:sz w:val="28"/>
          <w:szCs w:val="28"/>
        </w:rPr>
        <w:t>Krievijas un Baltkrievijas</w:t>
      </w:r>
      <w:r w:rsidR="001863F0">
        <w:rPr>
          <w:sz w:val="28"/>
          <w:szCs w:val="28"/>
        </w:rPr>
        <w:t xml:space="preserve"> būvizstrādājumu</w:t>
      </w:r>
      <w:r w:rsidRPr="00614656">
        <w:rPr>
          <w:sz w:val="28"/>
          <w:szCs w:val="28"/>
        </w:rPr>
        <w:t xml:space="preserve"> importa lielu</w:t>
      </w:r>
      <w:r w:rsidR="001863F0">
        <w:rPr>
          <w:sz w:val="28"/>
          <w:szCs w:val="28"/>
        </w:rPr>
        <w:t xml:space="preserve"> īpatsvaru. </w:t>
      </w:r>
      <w:r w:rsidRPr="00614656">
        <w:rPr>
          <w:sz w:val="28"/>
          <w:szCs w:val="28"/>
        </w:rPr>
        <w:t xml:space="preserve"> </w:t>
      </w:r>
    </w:p>
    <w:p w14:paraId="4CBB35F4" w14:textId="3363D5F9" w:rsidR="00614656" w:rsidRDefault="00614656" w:rsidP="00614656">
      <w:pPr>
        <w:ind w:firstLine="567"/>
        <w:jc w:val="both"/>
        <w:rPr>
          <w:sz w:val="28"/>
          <w:szCs w:val="28"/>
        </w:rPr>
      </w:pPr>
      <w:r w:rsidRPr="00614656">
        <w:rPr>
          <w:sz w:val="28"/>
          <w:szCs w:val="28"/>
        </w:rPr>
        <w:t>Līdz jaunu piegāžu organizēšanai Latvijas būvniecības nozarē turpināsies gan būvizstrādājumu cenu pieaugums, gan tērauda</w:t>
      </w:r>
      <w:r w:rsidR="001863F0">
        <w:rPr>
          <w:sz w:val="28"/>
          <w:szCs w:val="28"/>
        </w:rPr>
        <w:t>,</w:t>
      </w:r>
      <w:r w:rsidRPr="00614656">
        <w:rPr>
          <w:sz w:val="28"/>
          <w:szCs w:val="28"/>
        </w:rPr>
        <w:t xml:space="preserve"> koka </w:t>
      </w:r>
      <w:r w:rsidR="001863F0">
        <w:rPr>
          <w:sz w:val="28"/>
          <w:szCs w:val="28"/>
        </w:rPr>
        <w:t>un citu</w:t>
      </w:r>
      <w:r w:rsidR="00D53ACA">
        <w:rPr>
          <w:sz w:val="28"/>
          <w:szCs w:val="28"/>
        </w:rPr>
        <w:t xml:space="preserve"> </w:t>
      </w:r>
      <w:r w:rsidRPr="00614656">
        <w:rPr>
          <w:sz w:val="28"/>
          <w:szCs w:val="28"/>
        </w:rPr>
        <w:t>būvizstrādājumu būtisks deficīts.</w:t>
      </w:r>
    </w:p>
    <w:p w14:paraId="18148A8D" w14:textId="1D897C09" w:rsidR="008E724C" w:rsidRDefault="008E724C" w:rsidP="008E724C">
      <w:pPr>
        <w:jc w:val="both"/>
        <w:rPr>
          <w:sz w:val="28"/>
          <w:szCs w:val="28"/>
        </w:rPr>
      </w:pPr>
    </w:p>
    <w:p w14:paraId="3E6816F3" w14:textId="58697F01" w:rsidR="008E724C" w:rsidRPr="008E724C" w:rsidRDefault="00785C64" w:rsidP="008E724C">
      <w:pPr>
        <w:pStyle w:val="ListParagraph"/>
        <w:numPr>
          <w:ilvl w:val="0"/>
          <w:numId w:val="23"/>
        </w:numPr>
        <w:jc w:val="both"/>
        <w:rPr>
          <w:b/>
          <w:bCs/>
          <w:color w:val="548DD4" w:themeColor="text2" w:themeTint="99"/>
          <w:sz w:val="28"/>
          <w:szCs w:val="28"/>
        </w:rPr>
      </w:pPr>
      <w:r>
        <w:rPr>
          <w:b/>
          <w:bCs/>
          <w:color w:val="548DD4" w:themeColor="text2" w:themeTint="99"/>
          <w:sz w:val="28"/>
          <w:szCs w:val="28"/>
        </w:rPr>
        <w:t>Krievijas karadarbības Ukrainā</w:t>
      </w:r>
      <w:r w:rsidR="00617BA2">
        <w:rPr>
          <w:b/>
          <w:bCs/>
          <w:color w:val="548DD4" w:themeColor="text2" w:themeTint="99"/>
          <w:sz w:val="28"/>
          <w:szCs w:val="28"/>
        </w:rPr>
        <w:t xml:space="preserve"> </w:t>
      </w:r>
      <w:r w:rsidR="008E724C">
        <w:rPr>
          <w:b/>
          <w:bCs/>
          <w:color w:val="548DD4" w:themeColor="text2" w:themeTint="99"/>
          <w:sz w:val="28"/>
          <w:szCs w:val="28"/>
        </w:rPr>
        <w:t>rādīto traucējumu izejvielu un bū</w:t>
      </w:r>
      <w:r w:rsidR="00D40C34">
        <w:rPr>
          <w:b/>
          <w:bCs/>
          <w:color w:val="548DD4" w:themeColor="text2" w:themeTint="99"/>
          <w:sz w:val="28"/>
          <w:szCs w:val="28"/>
        </w:rPr>
        <w:t>vmateriālu tirgū ietekme uz publiskajiem infrastruktūras projektiem</w:t>
      </w:r>
    </w:p>
    <w:p w14:paraId="7AC4CAE1" w14:textId="7E1EE6E1" w:rsidR="003F76A0" w:rsidRDefault="00D40C34" w:rsidP="00FE166E">
      <w:pPr>
        <w:ind w:firstLine="567"/>
        <w:jc w:val="both"/>
        <w:rPr>
          <w:sz w:val="28"/>
          <w:szCs w:val="28"/>
        </w:rPr>
      </w:pPr>
      <w:r>
        <w:rPr>
          <w:sz w:val="28"/>
          <w:szCs w:val="28"/>
        </w:rPr>
        <w:t>Ekonomikas ministrija ir saņēmusi informāciju no vairākiem būvkomersantiem par traucējumiem būvizstrādājumu tirgū, kas izpaužas kā straujš cenu sadārdzinājums</w:t>
      </w:r>
      <w:r w:rsidR="00FE166E">
        <w:rPr>
          <w:sz w:val="28"/>
          <w:szCs w:val="28"/>
        </w:rPr>
        <w:t xml:space="preserve"> un arī</w:t>
      </w:r>
      <w:r>
        <w:rPr>
          <w:sz w:val="28"/>
          <w:szCs w:val="28"/>
        </w:rPr>
        <w:t xml:space="preserve"> kā izejvielu un būvizstrādājumu atsevišķu pozīciju neesamība. </w:t>
      </w:r>
      <w:r w:rsidR="00D53ACA">
        <w:rPr>
          <w:sz w:val="28"/>
          <w:szCs w:val="28"/>
        </w:rPr>
        <w:t>Vairāki uzņēmumi ir norādījuši, ka tie nespēj izpildīt iepriekš</w:t>
      </w:r>
      <w:r w:rsidR="00571453">
        <w:rPr>
          <w:sz w:val="28"/>
          <w:szCs w:val="28"/>
        </w:rPr>
        <w:t xml:space="preserve"> </w:t>
      </w:r>
      <w:r w:rsidR="00D53ACA">
        <w:rPr>
          <w:sz w:val="28"/>
          <w:szCs w:val="28"/>
        </w:rPr>
        <w:t>uzņemtās saistības</w:t>
      </w:r>
      <w:r w:rsidR="00FE166E">
        <w:rPr>
          <w:sz w:val="28"/>
          <w:szCs w:val="28"/>
        </w:rPr>
        <w:t xml:space="preserve">, pamatojot to ar būtiskām problēmām ar būvizstrādājumu </w:t>
      </w:r>
      <w:r w:rsidR="00FE166E">
        <w:rPr>
          <w:sz w:val="28"/>
          <w:szCs w:val="28"/>
        </w:rPr>
        <w:lastRenderedPageBreak/>
        <w:t xml:space="preserve">pieejamību un sadārdzinājumu, it īpaši, ņemot vērā, ka situācija </w:t>
      </w:r>
      <w:r w:rsidR="00112C19">
        <w:rPr>
          <w:sz w:val="28"/>
          <w:szCs w:val="28"/>
        </w:rPr>
        <w:t xml:space="preserve">šobrīd ir grūti </w:t>
      </w:r>
      <w:r w:rsidR="00D53ACA">
        <w:rPr>
          <w:sz w:val="28"/>
          <w:szCs w:val="28"/>
        </w:rPr>
        <w:t>prognozējama</w:t>
      </w:r>
      <w:r w:rsidR="00112C19">
        <w:rPr>
          <w:sz w:val="28"/>
          <w:szCs w:val="28"/>
        </w:rPr>
        <w:t xml:space="preserve"> un nav skaidrs kādā termiņā varētu notikt tirgus stabilizēšanās.</w:t>
      </w:r>
    </w:p>
    <w:p w14:paraId="08F00300" w14:textId="19CC4BB5" w:rsidR="00D53ACA" w:rsidRDefault="00112C19" w:rsidP="00D53ACA">
      <w:pPr>
        <w:ind w:firstLine="567"/>
        <w:jc w:val="both"/>
        <w:rPr>
          <w:sz w:val="28"/>
          <w:szCs w:val="28"/>
        </w:rPr>
      </w:pPr>
      <w:r>
        <w:rPr>
          <w:sz w:val="28"/>
          <w:szCs w:val="28"/>
        </w:rPr>
        <w:t xml:space="preserve">Uzņēmēji norāda, ka būvizstrādājumu tirgus traucējumi ietekmē </w:t>
      </w:r>
      <w:r w:rsidR="00D53ACA">
        <w:rPr>
          <w:sz w:val="28"/>
          <w:szCs w:val="28"/>
        </w:rPr>
        <w:t>publiskos būvdarbu iepirkum</w:t>
      </w:r>
      <w:r>
        <w:rPr>
          <w:sz w:val="28"/>
          <w:szCs w:val="28"/>
        </w:rPr>
        <w:t>u</w:t>
      </w:r>
      <w:r w:rsidR="00D53ACA">
        <w:rPr>
          <w:sz w:val="28"/>
          <w:szCs w:val="28"/>
        </w:rPr>
        <w:t>s</w:t>
      </w:r>
      <w:r>
        <w:rPr>
          <w:sz w:val="28"/>
          <w:szCs w:val="28"/>
        </w:rPr>
        <w:t xml:space="preserve"> </w:t>
      </w:r>
      <w:r w:rsidR="00D53ACA">
        <w:rPr>
          <w:sz w:val="28"/>
          <w:szCs w:val="28"/>
        </w:rPr>
        <w:t>visās stadijās:</w:t>
      </w:r>
    </w:p>
    <w:p w14:paraId="580185C4" w14:textId="28146920" w:rsidR="003F76A0" w:rsidRDefault="00112C19" w:rsidP="003F76A0">
      <w:pPr>
        <w:pStyle w:val="ListParagraph"/>
        <w:numPr>
          <w:ilvl w:val="0"/>
          <w:numId w:val="16"/>
        </w:numPr>
        <w:jc w:val="both"/>
        <w:rPr>
          <w:sz w:val="28"/>
          <w:szCs w:val="28"/>
        </w:rPr>
      </w:pPr>
      <w:r>
        <w:rPr>
          <w:sz w:val="28"/>
          <w:szCs w:val="28"/>
        </w:rPr>
        <w:t xml:space="preserve">Publiskie būvdarbu iepirkumi, kuru ietvaros būvkomersantu piedāvājumi ir iesniegti Krievijas militārās agresijas uzsākšanas </w:t>
      </w:r>
      <w:r w:rsidR="00D53ACA">
        <w:rPr>
          <w:sz w:val="28"/>
          <w:szCs w:val="28"/>
        </w:rPr>
        <w:t>šā gada 24.februār</w:t>
      </w:r>
      <w:r>
        <w:rPr>
          <w:sz w:val="28"/>
          <w:szCs w:val="28"/>
        </w:rPr>
        <w:t xml:space="preserve">ī </w:t>
      </w:r>
      <w:r w:rsidR="00D53ACA">
        <w:rPr>
          <w:sz w:val="28"/>
          <w:szCs w:val="28"/>
        </w:rPr>
        <w:t xml:space="preserve"> un </w:t>
      </w:r>
      <w:r w:rsidR="00257A37">
        <w:rPr>
          <w:sz w:val="28"/>
          <w:szCs w:val="28"/>
        </w:rPr>
        <w:t>publiskais būvdarbu līgums vēl nav noslēgts</w:t>
      </w:r>
      <w:r>
        <w:rPr>
          <w:sz w:val="28"/>
          <w:szCs w:val="28"/>
        </w:rPr>
        <w:t>;</w:t>
      </w:r>
      <w:r w:rsidR="000104B1">
        <w:rPr>
          <w:sz w:val="28"/>
          <w:szCs w:val="28"/>
        </w:rPr>
        <w:t xml:space="preserve"> </w:t>
      </w:r>
    </w:p>
    <w:p w14:paraId="251D9A19" w14:textId="174F3DF0" w:rsidR="00257A37" w:rsidRDefault="00257A37" w:rsidP="003F76A0">
      <w:pPr>
        <w:pStyle w:val="ListParagraph"/>
        <w:numPr>
          <w:ilvl w:val="0"/>
          <w:numId w:val="16"/>
        </w:numPr>
        <w:jc w:val="both"/>
        <w:rPr>
          <w:sz w:val="28"/>
          <w:szCs w:val="28"/>
        </w:rPr>
      </w:pPr>
      <w:r>
        <w:rPr>
          <w:sz w:val="28"/>
          <w:szCs w:val="28"/>
        </w:rPr>
        <w:t xml:space="preserve">publiskais būvdarbu līgums ir noslēgts pirms </w:t>
      </w:r>
      <w:r w:rsidR="00112C19">
        <w:rPr>
          <w:sz w:val="28"/>
          <w:szCs w:val="28"/>
        </w:rPr>
        <w:t xml:space="preserve">Krievijas militārās agresijas uzsākšanas </w:t>
      </w:r>
      <w:r w:rsidR="00D53ACA">
        <w:rPr>
          <w:sz w:val="28"/>
          <w:szCs w:val="28"/>
        </w:rPr>
        <w:t>šā gada 24.februār</w:t>
      </w:r>
      <w:r w:rsidR="00112C19">
        <w:rPr>
          <w:sz w:val="28"/>
          <w:szCs w:val="28"/>
        </w:rPr>
        <w:t>ī</w:t>
      </w:r>
      <w:r w:rsidR="00863938">
        <w:rPr>
          <w:sz w:val="28"/>
          <w:szCs w:val="28"/>
        </w:rPr>
        <w:t>;</w:t>
      </w:r>
    </w:p>
    <w:p w14:paraId="002BE995" w14:textId="4F9C6883" w:rsidR="00863938" w:rsidRDefault="00863938" w:rsidP="003F76A0">
      <w:pPr>
        <w:pStyle w:val="ListParagraph"/>
        <w:numPr>
          <w:ilvl w:val="0"/>
          <w:numId w:val="16"/>
        </w:numPr>
        <w:jc w:val="both"/>
        <w:rPr>
          <w:sz w:val="28"/>
          <w:szCs w:val="28"/>
        </w:rPr>
      </w:pPr>
      <w:r>
        <w:rPr>
          <w:sz w:val="28"/>
          <w:szCs w:val="28"/>
        </w:rPr>
        <w:t>jaun</w:t>
      </w:r>
      <w:r w:rsidR="00D53ACA">
        <w:rPr>
          <w:sz w:val="28"/>
          <w:szCs w:val="28"/>
        </w:rPr>
        <w:t>u</w:t>
      </w:r>
      <w:r>
        <w:rPr>
          <w:sz w:val="28"/>
          <w:szCs w:val="28"/>
        </w:rPr>
        <w:t xml:space="preserve"> publisk</w:t>
      </w:r>
      <w:r w:rsidR="00D53ACA">
        <w:rPr>
          <w:sz w:val="28"/>
          <w:szCs w:val="28"/>
        </w:rPr>
        <w:t>u būvdarbu</w:t>
      </w:r>
      <w:r>
        <w:rPr>
          <w:sz w:val="28"/>
          <w:szCs w:val="28"/>
        </w:rPr>
        <w:t xml:space="preserve"> iepirkumu </w:t>
      </w:r>
      <w:r w:rsidR="00FD68E1">
        <w:rPr>
          <w:sz w:val="28"/>
          <w:szCs w:val="28"/>
        </w:rPr>
        <w:t>uzsākšana</w:t>
      </w:r>
      <w:r>
        <w:rPr>
          <w:sz w:val="28"/>
          <w:szCs w:val="28"/>
        </w:rPr>
        <w:t>.</w:t>
      </w:r>
    </w:p>
    <w:p w14:paraId="14DB1C32" w14:textId="77777777" w:rsidR="00257A37" w:rsidRDefault="00257A37" w:rsidP="00257A37">
      <w:pPr>
        <w:jc w:val="both"/>
        <w:rPr>
          <w:sz w:val="28"/>
          <w:szCs w:val="28"/>
        </w:rPr>
      </w:pPr>
    </w:p>
    <w:p w14:paraId="71D51F35" w14:textId="16175CCA" w:rsidR="00257A37" w:rsidRPr="000907E3" w:rsidRDefault="00257A37" w:rsidP="000907E3">
      <w:pPr>
        <w:jc w:val="both"/>
        <w:rPr>
          <w:i/>
          <w:iCs/>
          <w:color w:val="548DD4" w:themeColor="text2" w:themeTint="99"/>
          <w:sz w:val="28"/>
          <w:szCs w:val="28"/>
        </w:rPr>
      </w:pPr>
      <w:r w:rsidRPr="00257A37">
        <w:rPr>
          <w:i/>
          <w:iCs/>
          <w:color w:val="548DD4" w:themeColor="text2" w:themeTint="99"/>
          <w:sz w:val="28"/>
          <w:szCs w:val="28"/>
        </w:rPr>
        <w:t>Līgumu noslēgšana publiskajos būvdarbu iepirkumos, kuros būvkomersantu piedāvājumi ir iesniegti pirms Krievijas militārās agresijas Ukrainā</w:t>
      </w:r>
      <w:r w:rsidR="00FD68E1">
        <w:rPr>
          <w:i/>
          <w:iCs/>
          <w:color w:val="548DD4" w:themeColor="text2" w:themeTint="99"/>
          <w:sz w:val="28"/>
          <w:szCs w:val="28"/>
        </w:rPr>
        <w:t xml:space="preserve"> un iespējamie risinājumi</w:t>
      </w:r>
      <w:r w:rsidRPr="00257A37">
        <w:rPr>
          <w:i/>
          <w:iCs/>
          <w:color w:val="548DD4" w:themeColor="text2" w:themeTint="99"/>
          <w:sz w:val="28"/>
          <w:szCs w:val="28"/>
        </w:rPr>
        <w:t>.</w:t>
      </w:r>
    </w:p>
    <w:p w14:paraId="5D5C8791" w14:textId="3071DF2E" w:rsidR="00703EF6" w:rsidRDefault="00257A37" w:rsidP="000907E3">
      <w:pPr>
        <w:ind w:firstLine="567"/>
        <w:jc w:val="both"/>
        <w:rPr>
          <w:sz w:val="28"/>
          <w:szCs w:val="28"/>
        </w:rPr>
      </w:pPr>
      <w:r>
        <w:rPr>
          <w:sz w:val="28"/>
          <w:szCs w:val="28"/>
        </w:rPr>
        <w:t>Būvkomersanti gatavoja tām</w:t>
      </w:r>
      <w:r w:rsidR="003321A9">
        <w:rPr>
          <w:sz w:val="28"/>
          <w:szCs w:val="28"/>
        </w:rPr>
        <w:t>es</w:t>
      </w:r>
      <w:r>
        <w:rPr>
          <w:sz w:val="28"/>
          <w:szCs w:val="28"/>
        </w:rPr>
        <w:t xml:space="preserve"> un sniedza finanšu piedāvājumu</w:t>
      </w:r>
      <w:r w:rsidR="003321A9">
        <w:rPr>
          <w:sz w:val="28"/>
          <w:szCs w:val="28"/>
        </w:rPr>
        <w:t>s</w:t>
      </w:r>
      <w:r>
        <w:rPr>
          <w:sz w:val="28"/>
          <w:szCs w:val="28"/>
        </w:rPr>
        <w:t xml:space="preserve"> publiskajos būvdarbu iepirkumos, balstoties uz tām tendencēm būvniecības tirgū, k</w:t>
      </w:r>
      <w:r w:rsidR="00703EF6">
        <w:rPr>
          <w:sz w:val="28"/>
          <w:szCs w:val="28"/>
        </w:rPr>
        <w:t>ādas</w:t>
      </w:r>
      <w:r>
        <w:rPr>
          <w:sz w:val="28"/>
          <w:szCs w:val="28"/>
        </w:rPr>
        <w:t xml:space="preserve"> pastāvēja piedāvājuma sagatavošanas brīdī</w:t>
      </w:r>
      <w:r w:rsidR="000907E3">
        <w:rPr>
          <w:sz w:val="28"/>
          <w:szCs w:val="28"/>
        </w:rPr>
        <w:t xml:space="preserve">. </w:t>
      </w:r>
      <w:r w:rsidR="00351C75">
        <w:rPr>
          <w:sz w:val="28"/>
          <w:szCs w:val="28"/>
        </w:rPr>
        <w:t>Situācijai strauji mainoties pēc šā gada 24.februāra, b</w:t>
      </w:r>
      <w:r w:rsidR="000907E3">
        <w:rPr>
          <w:sz w:val="28"/>
          <w:szCs w:val="28"/>
        </w:rPr>
        <w:t xml:space="preserve">ūvkomersanti </w:t>
      </w:r>
      <w:r w:rsidR="00FD68E1">
        <w:rPr>
          <w:sz w:val="28"/>
          <w:szCs w:val="28"/>
        </w:rPr>
        <w:t xml:space="preserve">šobrīd </w:t>
      </w:r>
      <w:r w:rsidR="00703EF6">
        <w:rPr>
          <w:sz w:val="28"/>
          <w:szCs w:val="28"/>
        </w:rPr>
        <w:t xml:space="preserve">faktiski </w:t>
      </w:r>
      <w:r w:rsidR="000907E3">
        <w:rPr>
          <w:sz w:val="28"/>
          <w:szCs w:val="28"/>
        </w:rPr>
        <w:t xml:space="preserve">nespēj izpildīt būvdarbus par </w:t>
      </w:r>
      <w:r w:rsidR="00351C75">
        <w:rPr>
          <w:sz w:val="28"/>
          <w:szCs w:val="28"/>
        </w:rPr>
        <w:t xml:space="preserve">piedāvājumā norādīto </w:t>
      </w:r>
      <w:r w:rsidR="000907E3">
        <w:rPr>
          <w:sz w:val="28"/>
          <w:szCs w:val="28"/>
        </w:rPr>
        <w:t xml:space="preserve">līgumcenu un </w:t>
      </w:r>
      <w:r w:rsidR="00703EF6">
        <w:rPr>
          <w:sz w:val="28"/>
          <w:szCs w:val="28"/>
        </w:rPr>
        <w:t xml:space="preserve">publisko būvdarbu iepirkuma nolikumā </w:t>
      </w:r>
      <w:r w:rsidR="000907E3">
        <w:rPr>
          <w:sz w:val="28"/>
          <w:szCs w:val="28"/>
        </w:rPr>
        <w:t xml:space="preserve">paredzētajos termiņos. </w:t>
      </w:r>
    </w:p>
    <w:p w14:paraId="5EC2B475" w14:textId="77777777" w:rsidR="00A3787B" w:rsidRDefault="00FD68E1" w:rsidP="00A3787B">
      <w:pPr>
        <w:ind w:firstLine="567"/>
        <w:jc w:val="both"/>
        <w:rPr>
          <w:sz w:val="28"/>
          <w:szCs w:val="28"/>
        </w:rPr>
      </w:pPr>
      <w:r>
        <w:rPr>
          <w:sz w:val="28"/>
          <w:szCs w:val="28"/>
        </w:rPr>
        <w:t xml:space="preserve">Pasūtītāji ir snieguši informāciju </w:t>
      </w:r>
      <w:r w:rsidR="00703EF6">
        <w:rPr>
          <w:sz w:val="28"/>
          <w:szCs w:val="28"/>
        </w:rPr>
        <w:t>Ekonomikas ministrija</w:t>
      </w:r>
      <w:r>
        <w:rPr>
          <w:sz w:val="28"/>
          <w:szCs w:val="28"/>
        </w:rPr>
        <w:t>i, ka pretendenti, saņemot uzaicinājumu slēgt publisko būvdarbu līgumu, informē par nespēju uzņemties līgumsaistību izpildi un nepiekrīt līguma slēgšanai.</w:t>
      </w:r>
      <w:r w:rsidR="00A3787B">
        <w:rPr>
          <w:sz w:val="28"/>
          <w:szCs w:val="28"/>
        </w:rPr>
        <w:t xml:space="preserve"> Šāda situācija rada pasūtītājam riskus:</w:t>
      </w:r>
    </w:p>
    <w:p w14:paraId="3374C5EB" w14:textId="77777777" w:rsidR="00A3787B" w:rsidRDefault="00A3787B" w:rsidP="00A3787B">
      <w:pPr>
        <w:pStyle w:val="ListParagraph"/>
        <w:numPr>
          <w:ilvl w:val="0"/>
          <w:numId w:val="24"/>
        </w:numPr>
        <w:jc w:val="both"/>
        <w:rPr>
          <w:sz w:val="28"/>
          <w:szCs w:val="28"/>
        </w:rPr>
      </w:pPr>
      <w:r>
        <w:rPr>
          <w:sz w:val="28"/>
          <w:szCs w:val="28"/>
        </w:rPr>
        <w:t>ja līgums publiskā iepirkuma ietvaros netiek noslēgts, pasūtītājam publiskais būvdarbu iepirkums ir jāsāk no jauna, kas prasīs papildus laika resursus kā arī ar lielu varbūtību noslēgsies ar augstāko līguma cenu;</w:t>
      </w:r>
    </w:p>
    <w:p w14:paraId="5E762BB3" w14:textId="7D8EE415" w:rsidR="00703EF6" w:rsidRPr="00A3787B" w:rsidRDefault="00703EF6" w:rsidP="00A3787B">
      <w:pPr>
        <w:pStyle w:val="ListParagraph"/>
        <w:numPr>
          <w:ilvl w:val="0"/>
          <w:numId w:val="24"/>
        </w:numPr>
        <w:jc w:val="both"/>
        <w:rPr>
          <w:sz w:val="28"/>
          <w:szCs w:val="28"/>
        </w:rPr>
      </w:pPr>
      <w:r w:rsidRPr="00A3787B">
        <w:rPr>
          <w:sz w:val="28"/>
          <w:szCs w:val="28"/>
        </w:rPr>
        <w:t>ja būvkomersants</w:t>
      </w:r>
      <w:r w:rsidR="00A3787B">
        <w:rPr>
          <w:sz w:val="28"/>
          <w:szCs w:val="28"/>
        </w:rPr>
        <w:t xml:space="preserve"> pasūtītāja spiediena rezultātā, piemēram, baidoties zaudēt piedāvājuma nodrošinājumu,</w:t>
      </w:r>
      <w:r w:rsidRPr="00A3787B">
        <w:rPr>
          <w:sz w:val="28"/>
          <w:szCs w:val="28"/>
        </w:rPr>
        <w:t xml:space="preserve"> noslē</w:t>
      </w:r>
      <w:r w:rsidR="003321A9" w:rsidRPr="00A3787B">
        <w:rPr>
          <w:sz w:val="28"/>
          <w:szCs w:val="28"/>
        </w:rPr>
        <w:t>gs</w:t>
      </w:r>
      <w:r w:rsidRPr="00A3787B">
        <w:rPr>
          <w:sz w:val="28"/>
          <w:szCs w:val="28"/>
        </w:rPr>
        <w:t xml:space="preserve"> publisko būvdarbu līgumu atbilstoši iesniegtajam piedāvājumam, pastāvēs risks, ka</w:t>
      </w:r>
      <w:r w:rsidR="0092111E" w:rsidRPr="00A3787B">
        <w:rPr>
          <w:sz w:val="28"/>
          <w:szCs w:val="28"/>
        </w:rPr>
        <w:t>,</w:t>
      </w:r>
      <w:r w:rsidRPr="00A3787B">
        <w:rPr>
          <w:sz w:val="28"/>
          <w:szCs w:val="28"/>
        </w:rPr>
        <w:t xml:space="preserve"> </w:t>
      </w:r>
      <w:r w:rsidR="0092111E" w:rsidRPr="00A3787B">
        <w:rPr>
          <w:sz w:val="28"/>
          <w:szCs w:val="28"/>
        </w:rPr>
        <w:t xml:space="preserve">nespējot izpildīt uzņemtās saistības, </w:t>
      </w:r>
      <w:r w:rsidR="00DC28F4" w:rsidRPr="00A3787B">
        <w:rPr>
          <w:sz w:val="28"/>
          <w:szCs w:val="28"/>
        </w:rPr>
        <w:t xml:space="preserve">komersants </w:t>
      </w:r>
      <w:r w:rsidRPr="00A3787B">
        <w:rPr>
          <w:sz w:val="28"/>
          <w:szCs w:val="28"/>
        </w:rPr>
        <w:t>vienpusējā kārtā atkāpsies no līguma izpildes</w:t>
      </w:r>
      <w:r w:rsidR="00A3787B">
        <w:rPr>
          <w:sz w:val="28"/>
          <w:szCs w:val="28"/>
        </w:rPr>
        <w:t xml:space="preserve"> vēlāk vai samazinās projekta paredzēto kvalitāti, lai kompensētu sadārdzinājumu. </w:t>
      </w:r>
    </w:p>
    <w:p w14:paraId="13DC9205" w14:textId="38A26950" w:rsidR="004F5192" w:rsidRPr="00A3787B" w:rsidRDefault="004F5192" w:rsidP="0032506C">
      <w:pPr>
        <w:ind w:firstLine="567"/>
        <w:jc w:val="both"/>
        <w:rPr>
          <w:sz w:val="28"/>
          <w:szCs w:val="28"/>
        </w:rPr>
      </w:pPr>
      <w:r w:rsidRPr="003321A9">
        <w:rPr>
          <w:b/>
          <w:bCs/>
          <w:sz w:val="28"/>
          <w:szCs w:val="28"/>
        </w:rPr>
        <w:t>Iepirkumu uzraudzības biroj</w:t>
      </w:r>
      <w:r w:rsidR="003321A9" w:rsidRPr="003321A9">
        <w:rPr>
          <w:b/>
          <w:bCs/>
          <w:sz w:val="28"/>
          <w:szCs w:val="28"/>
        </w:rPr>
        <w:t xml:space="preserve">a publicētajā skaidrojumā </w:t>
      </w:r>
      <w:r w:rsidRPr="003321A9">
        <w:rPr>
          <w:b/>
          <w:bCs/>
          <w:i/>
          <w:iCs/>
          <w:sz w:val="28"/>
          <w:szCs w:val="28"/>
        </w:rPr>
        <w:t>“Līgumu vadība krīzes apstākļos”</w:t>
      </w:r>
      <w:r w:rsidRPr="003321A9">
        <w:rPr>
          <w:b/>
          <w:bCs/>
          <w:sz w:val="28"/>
          <w:szCs w:val="28"/>
        </w:rPr>
        <w:t xml:space="preserve">, ir </w:t>
      </w:r>
      <w:r w:rsidR="003321A9" w:rsidRPr="003321A9">
        <w:rPr>
          <w:b/>
          <w:bCs/>
          <w:sz w:val="28"/>
          <w:szCs w:val="28"/>
        </w:rPr>
        <w:t>norādīts</w:t>
      </w:r>
      <w:r w:rsidRPr="003321A9">
        <w:rPr>
          <w:b/>
          <w:bCs/>
          <w:sz w:val="28"/>
          <w:szCs w:val="28"/>
        </w:rPr>
        <w:t xml:space="preserve"> uz </w:t>
      </w:r>
      <w:r w:rsidR="003321A9" w:rsidRPr="003321A9">
        <w:rPr>
          <w:b/>
          <w:bCs/>
          <w:sz w:val="28"/>
          <w:szCs w:val="28"/>
        </w:rPr>
        <w:t>pasūtītāja tiesībām</w:t>
      </w:r>
      <w:r w:rsidRPr="003321A9">
        <w:rPr>
          <w:b/>
          <w:bCs/>
          <w:sz w:val="28"/>
          <w:szCs w:val="28"/>
        </w:rPr>
        <w:t xml:space="preserve"> uzsāktā </w:t>
      </w:r>
      <w:r w:rsidR="004F7EF4" w:rsidRPr="003321A9">
        <w:rPr>
          <w:b/>
          <w:bCs/>
          <w:sz w:val="28"/>
          <w:szCs w:val="28"/>
        </w:rPr>
        <w:t xml:space="preserve">iepirkuma procedūrā </w:t>
      </w:r>
      <w:r w:rsidRPr="003321A9">
        <w:rPr>
          <w:b/>
          <w:bCs/>
          <w:sz w:val="28"/>
          <w:szCs w:val="28"/>
        </w:rPr>
        <w:t>veikt grozījumus iepirkuma līgumā (pirms tā noslēgšanas), ņemot vērā norādītās līgumu grozījumu iespējas.</w:t>
      </w:r>
      <w:r w:rsidRPr="003321A9">
        <w:rPr>
          <w:rStyle w:val="FootnoteReference"/>
          <w:b/>
          <w:bCs/>
          <w:sz w:val="28"/>
          <w:szCs w:val="28"/>
        </w:rPr>
        <w:footnoteReference w:id="5"/>
      </w:r>
      <w:r w:rsidR="003321A9">
        <w:rPr>
          <w:b/>
          <w:bCs/>
          <w:sz w:val="28"/>
          <w:szCs w:val="28"/>
        </w:rPr>
        <w:t xml:space="preserve"> </w:t>
      </w:r>
      <w:r w:rsidR="00A3787B" w:rsidRPr="00A3787B">
        <w:rPr>
          <w:sz w:val="28"/>
          <w:szCs w:val="28"/>
        </w:rPr>
        <w:t>Līgumprojektu grozījumu pieļaujamība, kā arī būvizstrādājumu tirgus traucējuma ietekme ir vērtējama pēc tiem pašiem principiem kā grozījumu veikšana publiskajos būvdarbu līgumos.</w:t>
      </w:r>
      <w:r w:rsidR="00A3787B">
        <w:rPr>
          <w:sz w:val="28"/>
          <w:szCs w:val="28"/>
        </w:rPr>
        <w:t xml:space="preserve"> </w:t>
      </w:r>
    </w:p>
    <w:p w14:paraId="50E32DF7" w14:textId="42593EE9" w:rsidR="005E09EB" w:rsidRPr="005E09EB" w:rsidRDefault="00A3787B" w:rsidP="00A3787B">
      <w:pPr>
        <w:tabs>
          <w:tab w:val="left" w:pos="1010"/>
        </w:tabs>
        <w:ind w:firstLine="567"/>
        <w:jc w:val="both"/>
        <w:rPr>
          <w:sz w:val="28"/>
          <w:szCs w:val="28"/>
        </w:rPr>
      </w:pPr>
      <w:r>
        <w:rPr>
          <w:sz w:val="28"/>
          <w:szCs w:val="28"/>
        </w:rPr>
        <w:tab/>
      </w:r>
      <w:r w:rsidR="005E09EB">
        <w:rPr>
          <w:sz w:val="28"/>
          <w:szCs w:val="28"/>
        </w:rPr>
        <w:t xml:space="preserve">Jāatzīmē, ka gadījumā, ja puses nespēj panākt risinājumu par grozījumiem publiskā būvdarbu iepirkuma līgumprojektā un būvdarbu veicējs </w:t>
      </w:r>
      <w:r w:rsidR="00785C64">
        <w:rPr>
          <w:sz w:val="28"/>
          <w:szCs w:val="28"/>
        </w:rPr>
        <w:t xml:space="preserve">Krievijas </w:t>
      </w:r>
      <w:r w:rsidR="005E09EB">
        <w:rPr>
          <w:sz w:val="28"/>
          <w:szCs w:val="28"/>
        </w:rPr>
        <w:t>karadarbības</w:t>
      </w:r>
      <w:r w:rsidR="00785C64">
        <w:rPr>
          <w:sz w:val="28"/>
          <w:szCs w:val="28"/>
        </w:rPr>
        <w:t xml:space="preserve"> Ukrainā</w:t>
      </w:r>
      <w:r w:rsidR="005E09EB">
        <w:rPr>
          <w:sz w:val="28"/>
          <w:szCs w:val="28"/>
        </w:rPr>
        <w:t xml:space="preserve"> ietekmes rezultātā nespē</w:t>
      </w:r>
      <w:r w:rsidR="002641CB">
        <w:rPr>
          <w:sz w:val="28"/>
          <w:szCs w:val="28"/>
        </w:rPr>
        <w:t>dams</w:t>
      </w:r>
      <w:r w:rsidR="005E09EB">
        <w:rPr>
          <w:sz w:val="28"/>
          <w:szCs w:val="28"/>
        </w:rPr>
        <w:t xml:space="preserve"> izpildīt piedāvājumā norādītās saistības, atsakās noslēgt būvdarbu līgumu</w:t>
      </w:r>
      <w:r w:rsidR="002641CB">
        <w:rPr>
          <w:sz w:val="28"/>
          <w:szCs w:val="28"/>
        </w:rPr>
        <w:t xml:space="preserve">, piedāvājuma </w:t>
      </w:r>
      <w:r w:rsidR="002641CB">
        <w:rPr>
          <w:sz w:val="28"/>
          <w:szCs w:val="28"/>
        </w:rPr>
        <w:lastRenderedPageBreak/>
        <w:t xml:space="preserve">nodrošinājuma ieturēšana nebūtu samērīga. Šajā gadījumā būvdarbu veicēja atteikšanās no līguma noslēgšanas ir pamatojama ar objektīviem ārējiem apstākļiem, pie kuru iestāšanās būvkomersants nav vainojams. </w:t>
      </w:r>
    </w:p>
    <w:p w14:paraId="00D7EC4E" w14:textId="4A4603CB" w:rsidR="00B91C3D" w:rsidRDefault="00351C75" w:rsidP="00B91C3D">
      <w:pPr>
        <w:jc w:val="both"/>
        <w:rPr>
          <w:sz w:val="28"/>
          <w:szCs w:val="28"/>
        </w:rPr>
      </w:pPr>
      <w:r>
        <w:rPr>
          <w:sz w:val="28"/>
          <w:szCs w:val="28"/>
        </w:rPr>
        <w:tab/>
      </w:r>
    </w:p>
    <w:p w14:paraId="6709BE30" w14:textId="1BD82D9D" w:rsidR="00B91C3D" w:rsidRDefault="00B91C3D" w:rsidP="00B91C3D">
      <w:pPr>
        <w:jc w:val="both"/>
        <w:rPr>
          <w:i/>
          <w:iCs/>
          <w:color w:val="548DD4" w:themeColor="text2" w:themeTint="99"/>
          <w:sz w:val="28"/>
          <w:szCs w:val="28"/>
        </w:rPr>
      </w:pPr>
      <w:r>
        <w:rPr>
          <w:i/>
          <w:iCs/>
          <w:color w:val="548DD4" w:themeColor="text2" w:themeTint="99"/>
          <w:sz w:val="28"/>
          <w:szCs w:val="28"/>
        </w:rPr>
        <w:t>Problēmas ar saistību izpildi noslēgtajos publiskajos būvdarbu līgumos</w:t>
      </w:r>
    </w:p>
    <w:p w14:paraId="4D73723D" w14:textId="60E8CF69" w:rsidR="00AF2F29" w:rsidRDefault="00B91C3D" w:rsidP="00966476">
      <w:pPr>
        <w:ind w:firstLine="567"/>
        <w:jc w:val="both"/>
        <w:rPr>
          <w:sz w:val="28"/>
          <w:szCs w:val="28"/>
        </w:rPr>
      </w:pPr>
      <w:r>
        <w:rPr>
          <w:sz w:val="28"/>
          <w:szCs w:val="28"/>
        </w:rPr>
        <w:t>Būvkomersanti</w:t>
      </w:r>
      <w:r w:rsidR="00966476">
        <w:rPr>
          <w:sz w:val="28"/>
          <w:szCs w:val="28"/>
        </w:rPr>
        <w:t xml:space="preserve"> informē, ka </w:t>
      </w:r>
      <w:r w:rsidR="00785C64">
        <w:rPr>
          <w:sz w:val="28"/>
          <w:szCs w:val="28"/>
        </w:rPr>
        <w:t xml:space="preserve">Krievijas </w:t>
      </w:r>
      <w:r w:rsidR="00966476">
        <w:rPr>
          <w:sz w:val="28"/>
          <w:szCs w:val="28"/>
        </w:rPr>
        <w:t>karadarbības</w:t>
      </w:r>
      <w:r w:rsidR="00785C64">
        <w:rPr>
          <w:sz w:val="28"/>
          <w:szCs w:val="28"/>
        </w:rPr>
        <w:t xml:space="preserve"> Ukrainā</w:t>
      </w:r>
      <w:r w:rsidR="00966476">
        <w:rPr>
          <w:sz w:val="28"/>
          <w:szCs w:val="28"/>
        </w:rPr>
        <w:t xml:space="preserve"> ietekmes dēļ tie</w:t>
      </w:r>
      <w:r>
        <w:rPr>
          <w:sz w:val="28"/>
          <w:szCs w:val="28"/>
        </w:rPr>
        <w:t xml:space="preserve"> saskar</w:t>
      </w:r>
      <w:r w:rsidR="0008646B">
        <w:rPr>
          <w:sz w:val="28"/>
          <w:szCs w:val="28"/>
        </w:rPr>
        <w:t>a</w:t>
      </w:r>
      <w:r>
        <w:rPr>
          <w:sz w:val="28"/>
          <w:szCs w:val="28"/>
        </w:rPr>
        <w:t>s ar objektīvām problēmām izpildīt iepriekš uzņemtas līgumsaistības un nodrošināt publisko būvdarbu līgumu izpildi</w:t>
      </w:r>
      <w:r w:rsidR="00966476">
        <w:rPr>
          <w:sz w:val="28"/>
          <w:szCs w:val="28"/>
        </w:rPr>
        <w:t xml:space="preserve">. Izejvielu un būvizstrādājumu sadārdzinājums neļauj iekļauties līgumcenā, radot finanšu zaudējumus, savukārt </w:t>
      </w:r>
      <w:r w:rsidR="00792423">
        <w:rPr>
          <w:sz w:val="28"/>
          <w:szCs w:val="28"/>
        </w:rPr>
        <w:t xml:space="preserve">būvizstrādājumu nepieejamība apdraud būvniecības ieceres īstenošanas termiņu ievērošanu. </w:t>
      </w:r>
      <w:r w:rsidR="00966476">
        <w:rPr>
          <w:sz w:val="28"/>
          <w:szCs w:val="28"/>
        </w:rPr>
        <w:t xml:space="preserve"> </w:t>
      </w:r>
      <w:r w:rsidR="00863938">
        <w:rPr>
          <w:sz w:val="28"/>
          <w:szCs w:val="28"/>
        </w:rPr>
        <w:t xml:space="preserve">Pieaugot zaudējumu apjomam, </w:t>
      </w:r>
      <w:r w:rsidR="00721FDD">
        <w:rPr>
          <w:sz w:val="28"/>
          <w:szCs w:val="28"/>
        </w:rPr>
        <w:t>palielinās</w:t>
      </w:r>
      <w:r w:rsidR="00863938">
        <w:rPr>
          <w:sz w:val="28"/>
          <w:szCs w:val="28"/>
        </w:rPr>
        <w:t xml:space="preserve"> risks, ka</w:t>
      </w:r>
      <w:r>
        <w:rPr>
          <w:sz w:val="28"/>
          <w:szCs w:val="28"/>
        </w:rPr>
        <w:t xml:space="preserve"> </w:t>
      </w:r>
      <w:r w:rsidR="0092111E">
        <w:rPr>
          <w:sz w:val="28"/>
          <w:szCs w:val="28"/>
        </w:rPr>
        <w:t>būvkomersant</w:t>
      </w:r>
      <w:r w:rsidR="00863938">
        <w:rPr>
          <w:sz w:val="28"/>
          <w:szCs w:val="28"/>
        </w:rPr>
        <w:t>i</w:t>
      </w:r>
      <w:r w:rsidR="0092111E">
        <w:rPr>
          <w:sz w:val="28"/>
          <w:szCs w:val="28"/>
        </w:rPr>
        <w:t xml:space="preserve"> vienpusēj</w:t>
      </w:r>
      <w:r w:rsidR="001E5220">
        <w:rPr>
          <w:sz w:val="28"/>
          <w:szCs w:val="28"/>
        </w:rPr>
        <w:t>i</w:t>
      </w:r>
      <w:r w:rsidR="0092111E">
        <w:rPr>
          <w:sz w:val="28"/>
          <w:szCs w:val="28"/>
        </w:rPr>
        <w:t xml:space="preserve"> atkāp</w:t>
      </w:r>
      <w:r w:rsidR="00863938">
        <w:rPr>
          <w:sz w:val="28"/>
          <w:szCs w:val="28"/>
        </w:rPr>
        <w:t>sies</w:t>
      </w:r>
      <w:r w:rsidR="0092111E">
        <w:rPr>
          <w:sz w:val="28"/>
          <w:szCs w:val="28"/>
        </w:rPr>
        <w:t xml:space="preserve"> no publiskajiem būvdarbu līgumiem, atstājot nepabeigtus būvobjektus. </w:t>
      </w:r>
      <w:r w:rsidR="00863938">
        <w:rPr>
          <w:sz w:val="28"/>
          <w:szCs w:val="28"/>
        </w:rPr>
        <w:t xml:space="preserve">Šāda notikumu attīstība radīs zaudējumus pasūtītājam, jo jauna publisko būvdarbu iepirkuma rīkošana ir laikietilpīgs process, sadrumstalots būvdarbu veikšanas process samazina pasūtītāja </w:t>
      </w:r>
      <w:r w:rsidR="00167A30">
        <w:rPr>
          <w:sz w:val="28"/>
          <w:szCs w:val="28"/>
        </w:rPr>
        <w:t>iespēju efektīvi aizstāvēt savas intereses, būvobjekta uzturēšana dīkstāves laikā prasīs papildu finanšu resursus, jaunā līgumcena</w:t>
      </w:r>
      <w:r w:rsidR="00721FDD">
        <w:rPr>
          <w:sz w:val="28"/>
          <w:szCs w:val="28"/>
        </w:rPr>
        <w:t xml:space="preserve"> ar lielu varbūtību</w:t>
      </w:r>
      <w:r w:rsidR="00167A30">
        <w:rPr>
          <w:sz w:val="28"/>
          <w:szCs w:val="28"/>
        </w:rPr>
        <w:t xml:space="preserve"> būs </w:t>
      </w:r>
      <w:r w:rsidR="00721FDD">
        <w:rPr>
          <w:sz w:val="28"/>
          <w:szCs w:val="28"/>
        </w:rPr>
        <w:t>augstāka</w:t>
      </w:r>
      <w:r w:rsidR="00167A30">
        <w:rPr>
          <w:sz w:val="28"/>
          <w:szCs w:val="28"/>
        </w:rPr>
        <w:t xml:space="preserve">, ņemot vērā nestabilo situāciju nozarē. </w:t>
      </w:r>
    </w:p>
    <w:p w14:paraId="0DD7B97E" w14:textId="3BB6E593" w:rsidR="00167A30" w:rsidRDefault="00785C64" w:rsidP="00B64EE9">
      <w:pPr>
        <w:ind w:firstLine="567"/>
        <w:jc w:val="both"/>
        <w:rPr>
          <w:sz w:val="28"/>
          <w:szCs w:val="28"/>
        </w:rPr>
      </w:pPr>
      <w:r>
        <w:rPr>
          <w:sz w:val="28"/>
          <w:szCs w:val="28"/>
        </w:rPr>
        <w:t xml:space="preserve">Krievijas karadarbības </w:t>
      </w:r>
      <w:r w:rsidR="00002E01">
        <w:rPr>
          <w:sz w:val="28"/>
          <w:szCs w:val="28"/>
        </w:rPr>
        <w:t>Ukrainā</w:t>
      </w:r>
      <w:r w:rsidR="00570869">
        <w:rPr>
          <w:sz w:val="28"/>
          <w:szCs w:val="28"/>
        </w:rPr>
        <w:t xml:space="preserve"> izraisīta</w:t>
      </w:r>
      <w:r w:rsidR="00002E01">
        <w:rPr>
          <w:sz w:val="28"/>
          <w:szCs w:val="28"/>
        </w:rPr>
        <w:t xml:space="preserve"> </w:t>
      </w:r>
      <w:r w:rsidR="00570869">
        <w:rPr>
          <w:sz w:val="28"/>
          <w:szCs w:val="28"/>
        </w:rPr>
        <w:t xml:space="preserve">izejvielu un </w:t>
      </w:r>
      <w:r w:rsidR="00167A30">
        <w:rPr>
          <w:sz w:val="28"/>
          <w:szCs w:val="28"/>
        </w:rPr>
        <w:t>būvizstrādājumu nepieejamīb</w:t>
      </w:r>
      <w:r w:rsidR="00002E01">
        <w:rPr>
          <w:sz w:val="28"/>
          <w:szCs w:val="28"/>
        </w:rPr>
        <w:t>a</w:t>
      </w:r>
      <w:r w:rsidR="00167A30">
        <w:rPr>
          <w:sz w:val="28"/>
          <w:szCs w:val="28"/>
        </w:rPr>
        <w:t xml:space="preserve"> un būvizstrādājumu cenu strauj</w:t>
      </w:r>
      <w:r w:rsidR="00002E01">
        <w:rPr>
          <w:sz w:val="28"/>
          <w:szCs w:val="28"/>
        </w:rPr>
        <w:t>š</w:t>
      </w:r>
      <w:r w:rsidR="00167A30">
        <w:rPr>
          <w:sz w:val="28"/>
          <w:szCs w:val="28"/>
        </w:rPr>
        <w:t xml:space="preserve"> pieaugum</w:t>
      </w:r>
      <w:r w:rsidR="00002E01">
        <w:rPr>
          <w:sz w:val="28"/>
          <w:szCs w:val="28"/>
        </w:rPr>
        <w:t>s</w:t>
      </w:r>
      <w:r w:rsidR="00167A30">
        <w:rPr>
          <w:sz w:val="28"/>
          <w:szCs w:val="28"/>
        </w:rPr>
        <w:t xml:space="preserve"> </w:t>
      </w:r>
      <w:r w:rsidR="00167A30" w:rsidRPr="001E5220">
        <w:rPr>
          <w:b/>
          <w:bCs/>
          <w:sz w:val="28"/>
          <w:szCs w:val="28"/>
        </w:rPr>
        <w:t xml:space="preserve">atbilst </w:t>
      </w:r>
      <w:bookmarkStart w:id="0" w:name="_Hlk98610204"/>
      <w:r w:rsidR="00167A30" w:rsidRPr="001E5220">
        <w:rPr>
          <w:b/>
          <w:bCs/>
          <w:sz w:val="28"/>
          <w:szCs w:val="28"/>
        </w:rPr>
        <w:t>Publisko iepirkumu likum</w:t>
      </w:r>
      <w:r w:rsidR="009530DD" w:rsidRPr="001E5220">
        <w:rPr>
          <w:b/>
          <w:bCs/>
          <w:sz w:val="28"/>
          <w:szCs w:val="28"/>
        </w:rPr>
        <w:t>a</w:t>
      </w:r>
      <w:r w:rsidR="00167A30" w:rsidRPr="001E5220">
        <w:rPr>
          <w:b/>
          <w:bCs/>
          <w:sz w:val="28"/>
          <w:szCs w:val="28"/>
        </w:rPr>
        <w:t xml:space="preserve"> 61.panta treš</w:t>
      </w:r>
      <w:r w:rsidR="00943019">
        <w:rPr>
          <w:b/>
          <w:bCs/>
          <w:sz w:val="28"/>
          <w:szCs w:val="28"/>
        </w:rPr>
        <w:t>ās</w:t>
      </w:r>
      <w:r w:rsidR="00167A30" w:rsidRPr="001E5220">
        <w:rPr>
          <w:b/>
          <w:bCs/>
          <w:sz w:val="28"/>
          <w:szCs w:val="28"/>
        </w:rPr>
        <w:t xml:space="preserve"> daļ</w:t>
      </w:r>
      <w:r w:rsidR="00943019">
        <w:rPr>
          <w:b/>
          <w:bCs/>
          <w:sz w:val="28"/>
          <w:szCs w:val="28"/>
        </w:rPr>
        <w:t>as 3.punktā</w:t>
      </w:r>
      <w:r w:rsidR="00167A30" w:rsidRPr="001E5220">
        <w:rPr>
          <w:b/>
          <w:bCs/>
          <w:sz w:val="28"/>
          <w:szCs w:val="28"/>
        </w:rPr>
        <w:t>, Sabiedrisko pakalpojumu sniedzēju iepirkuma likuma 66.panta treš</w:t>
      </w:r>
      <w:r w:rsidR="00943019">
        <w:rPr>
          <w:b/>
          <w:bCs/>
          <w:sz w:val="28"/>
          <w:szCs w:val="28"/>
        </w:rPr>
        <w:t>ās</w:t>
      </w:r>
      <w:r w:rsidR="00167A30" w:rsidRPr="001E5220">
        <w:rPr>
          <w:b/>
          <w:bCs/>
          <w:sz w:val="28"/>
          <w:szCs w:val="28"/>
        </w:rPr>
        <w:t xml:space="preserve"> daļ</w:t>
      </w:r>
      <w:r w:rsidR="00943019">
        <w:rPr>
          <w:b/>
          <w:bCs/>
          <w:sz w:val="28"/>
          <w:szCs w:val="28"/>
        </w:rPr>
        <w:t>as 3.punktā</w:t>
      </w:r>
      <w:r w:rsidR="00167A30" w:rsidRPr="001E5220">
        <w:rPr>
          <w:b/>
          <w:bCs/>
          <w:sz w:val="28"/>
          <w:szCs w:val="28"/>
        </w:rPr>
        <w:t xml:space="preserve"> un Publiskās un privātās partnerības likuma 63.panta trešās daļas 3.punktā</w:t>
      </w:r>
      <w:bookmarkEnd w:id="0"/>
      <w:r w:rsidR="00167A30" w:rsidRPr="001E5220">
        <w:rPr>
          <w:b/>
          <w:bCs/>
          <w:sz w:val="28"/>
          <w:szCs w:val="28"/>
        </w:rPr>
        <w:t xml:space="preserve"> </w:t>
      </w:r>
      <w:r w:rsidR="00002E01">
        <w:rPr>
          <w:b/>
          <w:bCs/>
          <w:sz w:val="28"/>
          <w:szCs w:val="28"/>
        </w:rPr>
        <w:t>minētajiem apstākļiem, kurus pasūtītājs, sabiedrisko pakalpojumu sniedzējs vai publiskais partneris</w:t>
      </w:r>
      <w:r w:rsidR="00002E01">
        <w:rPr>
          <w:sz w:val="28"/>
          <w:szCs w:val="28"/>
        </w:rPr>
        <w:t xml:space="preserve"> </w:t>
      </w:r>
      <w:r w:rsidR="00002E01" w:rsidRPr="00002E01">
        <w:rPr>
          <w:b/>
          <w:bCs/>
          <w:sz w:val="28"/>
          <w:szCs w:val="28"/>
        </w:rPr>
        <w:t>vai tā pārstāvis</w:t>
      </w:r>
      <w:r w:rsidR="00002E01">
        <w:rPr>
          <w:sz w:val="28"/>
          <w:szCs w:val="28"/>
        </w:rPr>
        <w:t xml:space="preserve"> iepriekš nevarēja paredzēt, attiecīgi </w:t>
      </w:r>
      <w:r w:rsidR="00167A30">
        <w:rPr>
          <w:sz w:val="28"/>
          <w:szCs w:val="28"/>
        </w:rPr>
        <w:t xml:space="preserve"> </w:t>
      </w:r>
      <w:r w:rsidR="00167A30" w:rsidRPr="00167A30">
        <w:rPr>
          <w:sz w:val="28"/>
          <w:szCs w:val="28"/>
        </w:rPr>
        <w:t>līgumslēdzējpusēm ir tiesības veikt būtiskus līguma grozījumus</w:t>
      </w:r>
      <w:r w:rsidR="00002E01">
        <w:rPr>
          <w:sz w:val="28"/>
          <w:szCs w:val="28"/>
        </w:rPr>
        <w:t xml:space="preserve">, </w:t>
      </w:r>
      <w:r w:rsidR="00167A30" w:rsidRPr="00167A30">
        <w:rPr>
          <w:sz w:val="28"/>
          <w:szCs w:val="28"/>
        </w:rPr>
        <w:t>nemain</w:t>
      </w:r>
      <w:r w:rsidR="00002E01">
        <w:rPr>
          <w:sz w:val="28"/>
          <w:szCs w:val="28"/>
        </w:rPr>
        <w:t>ot</w:t>
      </w:r>
      <w:r w:rsidR="00167A30" w:rsidRPr="00167A30">
        <w:rPr>
          <w:sz w:val="28"/>
          <w:szCs w:val="28"/>
        </w:rPr>
        <w:t xml:space="preserve"> līguma vispārējo raksturu</w:t>
      </w:r>
      <w:r w:rsidR="00013CA4">
        <w:rPr>
          <w:sz w:val="28"/>
          <w:szCs w:val="28"/>
        </w:rPr>
        <w:t xml:space="preserve">. </w:t>
      </w:r>
      <w:r w:rsidR="005D60E6" w:rsidRPr="005D60E6">
        <w:rPr>
          <w:sz w:val="28"/>
          <w:szCs w:val="28"/>
        </w:rPr>
        <w:t>Pusēm ir tiesības vienoties par līguma izpildes termiņa pagarināšanu, līgumcenas pārskatīšanu (līdz 50% no sākotnējās līguma cenas), kā arī par citiem nepieciešamajiem grozījumiem, tostarp, par atsevišķu darba pozīciju, kas ir pārlieku sadārdzinājušās vai ir būtiski apgrūtināta īstenošana izejmateriālu nepieejamības dēļ, izslēgšan</w:t>
      </w:r>
      <w:r w:rsidR="00A82650">
        <w:rPr>
          <w:sz w:val="28"/>
          <w:szCs w:val="28"/>
        </w:rPr>
        <w:t>u</w:t>
      </w:r>
      <w:r w:rsidR="005D60E6" w:rsidRPr="005D60E6">
        <w:rPr>
          <w:sz w:val="28"/>
          <w:szCs w:val="28"/>
        </w:rPr>
        <w:t xml:space="preserve"> no līguma. </w:t>
      </w:r>
      <w:r w:rsidR="00002E01">
        <w:rPr>
          <w:sz w:val="28"/>
          <w:szCs w:val="28"/>
        </w:rPr>
        <w:t xml:space="preserve">Papildus tam iepirkumu jomas regulējums paredz arī citus instrumentus līguma izmaiņu vadībai. </w:t>
      </w:r>
    </w:p>
    <w:p w14:paraId="6DA443D7" w14:textId="60C60690" w:rsidR="001E5220" w:rsidRDefault="001E5220" w:rsidP="00167A30">
      <w:pPr>
        <w:ind w:firstLine="567"/>
        <w:jc w:val="both"/>
        <w:rPr>
          <w:sz w:val="28"/>
          <w:szCs w:val="28"/>
        </w:rPr>
      </w:pPr>
      <w:r w:rsidRPr="001E5220">
        <w:rPr>
          <w:sz w:val="28"/>
          <w:szCs w:val="28"/>
        </w:rPr>
        <w:t>Atbilstoši publisko</w:t>
      </w:r>
      <w:r w:rsidR="00A82650">
        <w:rPr>
          <w:sz w:val="28"/>
          <w:szCs w:val="28"/>
        </w:rPr>
        <w:t>s</w:t>
      </w:r>
      <w:r w:rsidRPr="001E5220">
        <w:rPr>
          <w:sz w:val="28"/>
          <w:szCs w:val="28"/>
        </w:rPr>
        <w:t xml:space="preserve"> iepirkumus regulējošajiem normatīvajiem aktiem </w:t>
      </w:r>
      <w:r w:rsidRPr="001E5220">
        <w:rPr>
          <w:b/>
          <w:bCs/>
          <w:sz w:val="28"/>
          <w:szCs w:val="28"/>
        </w:rPr>
        <w:t>tieši pasūtītājam ir aktīva loma līguma vadībā</w:t>
      </w:r>
      <w:r w:rsidRPr="001E5220">
        <w:rPr>
          <w:sz w:val="28"/>
          <w:szCs w:val="28"/>
        </w:rPr>
        <w:t xml:space="preserve">, it īpaši, ja rodas sarežģījumi līguma izpildē, </w:t>
      </w:r>
      <w:r w:rsidRPr="001E5220">
        <w:rPr>
          <w:b/>
          <w:bCs/>
          <w:sz w:val="28"/>
          <w:szCs w:val="28"/>
        </w:rPr>
        <w:t>pasūtītājam aktīvi jālemj par līguma turpināšanas iespējām un pieejamo instrumentu izmantošanu līguma izpildes nodrošināšanai.</w:t>
      </w:r>
    </w:p>
    <w:p w14:paraId="7DE012D4" w14:textId="5B2AAF4C" w:rsidR="00C66CF3" w:rsidRDefault="00C66CF3" w:rsidP="00167A30">
      <w:pPr>
        <w:ind w:firstLine="567"/>
        <w:jc w:val="both"/>
        <w:rPr>
          <w:sz w:val="28"/>
          <w:szCs w:val="28"/>
        </w:rPr>
      </w:pPr>
      <w:r>
        <w:rPr>
          <w:sz w:val="28"/>
          <w:szCs w:val="28"/>
        </w:rPr>
        <w:t xml:space="preserve">Būtiskie publisko būvdarbu līguma grozījumi ir </w:t>
      </w:r>
      <w:r w:rsidRPr="00C66CF3">
        <w:rPr>
          <w:b/>
          <w:bCs/>
          <w:sz w:val="28"/>
          <w:szCs w:val="28"/>
        </w:rPr>
        <w:t>veicami, pusēm savstarpēji vienojoties</w:t>
      </w:r>
      <w:r>
        <w:rPr>
          <w:sz w:val="28"/>
          <w:szCs w:val="28"/>
        </w:rPr>
        <w:t xml:space="preserve">, ņemot vērā, piemēram, šādus aspektus - katras konkrētas būvniecības ieceres raksturu, būvdarbu izpildes stadiju, riskus, kas ir saistīti ar noslēgta publiskā būvdarbu līguma pārtraukšanu, grozījumu samērīgumu un atbilstību pasūtītāja interesēm, pasūtītāja spēju nodrošināt papildus nepieciešamo finansējumu. </w:t>
      </w:r>
      <w:r w:rsidR="00B92165" w:rsidRPr="00B92165">
        <w:rPr>
          <w:sz w:val="28"/>
          <w:szCs w:val="28"/>
        </w:rPr>
        <w:t xml:space="preserve">Lemjot par publiskā būvdarbu līguma grozījumiem un paredzot līgumcenas pārskatīšanu, </w:t>
      </w:r>
      <w:r w:rsidR="00B92165">
        <w:rPr>
          <w:sz w:val="28"/>
          <w:szCs w:val="28"/>
        </w:rPr>
        <w:t xml:space="preserve">pasūtītājam būs </w:t>
      </w:r>
      <w:r w:rsidR="00B92165" w:rsidRPr="00B92165">
        <w:rPr>
          <w:sz w:val="28"/>
          <w:szCs w:val="28"/>
        </w:rPr>
        <w:t>jānodrošina būvdarbu īstenošanai nepieciešamais papildu finansējums</w:t>
      </w:r>
      <w:r w:rsidR="00F30D04">
        <w:rPr>
          <w:sz w:val="28"/>
          <w:szCs w:val="28"/>
        </w:rPr>
        <w:t xml:space="preserve">, </w:t>
      </w:r>
      <w:r w:rsidR="00417AAA">
        <w:rPr>
          <w:sz w:val="28"/>
          <w:szCs w:val="28"/>
        </w:rPr>
        <w:t xml:space="preserve">iespēju robežās </w:t>
      </w:r>
      <w:r w:rsidR="00F30D04">
        <w:rPr>
          <w:sz w:val="28"/>
          <w:szCs w:val="28"/>
        </w:rPr>
        <w:t>pārskatot citus projektus un aktivitātes</w:t>
      </w:r>
      <w:r w:rsidR="00ED3B36">
        <w:rPr>
          <w:sz w:val="28"/>
          <w:szCs w:val="28"/>
        </w:rPr>
        <w:t>, kā arī jaunu projektu uzsākšanas atlikšanu</w:t>
      </w:r>
      <w:r w:rsidR="00417AAA">
        <w:rPr>
          <w:sz w:val="28"/>
          <w:szCs w:val="28"/>
        </w:rPr>
        <w:t>.</w:t>
      </w:r>
      <w:r w:rsidR="00ED3B36">
        <w:rPr>
          <w:sz w:val="28"/>
          <w:szCs w:val="28"/>
        </w:rPr>
        <w:t xml:space="preserve"> </w:t>
      </w:r>
      <w:r w:rsidR="00B92165">
        <w:rPr>
          <w:sz w:val="28"/>
          <w:szCs w:val="28"/>
        </w:rPr>
        <w:t xml:space="preserve"> Ja pasūtītāja rīcībā nav </w:t>
      </w:r>
      <w:r w:rsidR="00B92165">
        <w:rPr>
          <w:sz w:val="28"/>
          <w:szCs w:val="28"/>
        </w:rPr>
        <w:lastRenderedPageBreak/>
        <w:t xml:space="preserve">sadārdzinājuma segšanai pietiekams finansējums, tam būs jāmeklē citi finanšu avoti, tai skaitā iespēja aizņemties iztrūkstošus finanšu līdzekļus. </w:t>
      </w:r>
    </w:p>
    <w:p w14:paraId="3A2289E3" w14:textId="2D615402" w:rsidR="00AE1C4A" w:rsidRPr="00A82650" w:rsidRDefault="00C66CF3" w:rsidP="00167A30">
      <w:pPr>
        <w:ind w:firstLine="567"/>
        <w:jc w:val="both"/>
        <w:rPr>
          <w:sz w:val="28"/>
          <w:szCs w:val="28"/>
        </w:rPr>
      </w:pPr>
      <w:r w:rsidRPr="003340C3">
        <w:rPr>
          <w:b/>
          <w:bCs/>
          <w:sz w:val="28"/>
          <w:szCs w:val="28"/>
        </w:rPr>
        <w:t>Būvdarbu veicējam</w:t>
      </w:r>
      <w:r w:rsidR="003340C3" w:rsidRPr="003340C3">
        <w:rPr>
          <w:b/>
          <w:bCs/>
          <w:sz w:val="28"/>
          <w:szCs w:val="28"/>
        </w:rPr>
        <w:t xml:space="preserve"> ir tiesības ierosināt būtiskus grozījumus publiskajā būvdarbu līgumā</w:t>
      </w:r>
      <w:r w:rsidR="003340C3">
        <w:rPr>
          <w:sz w:val="28"/>
          <w:szCs w:val="28"/>
        </w:rPr>
        <w:t>, vēršoties ar attiecīgu lūgumu pie pasūtītāja. I</w:t>
      </w:r>
      <w:r>
        <w:rPr>
          <w:sz w:val="28"/>
          <w:szCs w:val="28"/>
        </w:rPr>
        <w:t>erosinot būtiskus līguma grozījumus,</w:t>
      </w:r>
      <w:r w:rsidR="003340C3">
        <w:rPr>
          <w:sz w:val="28"/>
          <w:szCs w:val="28"/>
        </w:rPr>
        <w:t xml:space="preserve"> </w:t>
      </w:r>
      <w:r w:rsidR="003340C3" w:rsidRPr="000104B1">
        <w:rPr>
          <w:b/>
          <w:bCs/>
          <w:sz w:val="28"/>
          <w:szCs w:val="28"/>
        </w:rPr>
        <w:t>būvdarbu veicējam</w:t>
      </w:r>
      <w:r w:rsidRPr="000104B1">
        <w:rPr>
          <w:b/>
          <w:bCs/>
          <w:sz w:val="28"/>
          <w:szCs w:val="28"/>
        </w:rPr>
        <w:t xml:space="preserve"> ir pienākums iesniegt pamatojumu neprognozēto apstākļu ietekmei uz konkrēto līgumsaistību izpildi</w:t>
      </w:r>
      <w:r>
        <w:rPr>
          <w:sz w:val="28"/>
          <w:szCs w:val="28"/>
        </w:rPr>
        <w:t>. Šajā gadījumā būvdarbu veicējam ir jāpierāda, ka</w:t>
      </w:r>
      <w:r w:rsidR="008241A9">
        <w:rPr>
          <w:sz w:val="28"/>
          <w:szCs w:val="28"/>
        </w:rPr>
        <w:t xml:space="preserve"> Krievijas militārās agresijas Ukrainā izraisītas problēmas ar būvizstrādājumu pieejamību un būvizstrādājumu cen</w:t>
      </w:r>
      <w:r w:rsidR="00AE1C4A">
        <w:rPr>
          <w:sz w:val="28"/>
          <w:szCs w:val="28"/>
        </w:rPr>
        <w:t>u</w:t>
      </w:r>
      <w:r w:rsidR="008241A9">
        <w:rPr>
          <w:sz w:val="28"/>
          <w:szCs w:val="28"/>
        </w:rPr>
        <w:t xml:space="preserve"> </w:t>
      </w:r>
      <w:r w:rsidR="00AE1C4A">
        <w:rPr>
          <w:sz w:val="28"/>
          <w:szCs w:val="28"/>
        </w:rPr>
        <w:t xml:space="preserve">strauju kāpumu </w:t>
      </w:r>
      <w:r w:rsidR="00AE1C4A" w:rsidRPr="00A82650">
        <w:rPr>
          <w:b/>
          <w:bCs/>
          <w:sz w:val="28"/>
          <w:szCs w:val="28"/>
        </w:rPr>
        <w:t>atstāj tiešu un likumsakarīgu ietekmi uz konkrēt</w:t>
      </w:r>
      <w:r w:rsidR="00A82650">
        <w:rPr>
          <w:b/>
          <w:bCs/>
          <w:sz w:val="28"/>
          <w:szCs w:val="28"/>
        </w:rPr>
        <w:t>as</w:t>
      </w:r>
      <w:r w:rsidR="00AE1C4A" w:rsidRPr="00A82650">
        <w:rPr>
          <w:b/>
          <w:bCs/>
          <w:sz w:val="28"/>
          <w:szCs w:val="28"/>
        </w:rPr>
        <w:t xml:space="preserve"> būvniecības iecer</w:t>
      </w:r>
      <w:r w:rsidR="00A82650">
        <w:rPr>
          <w:b/>
          <w:bCs/>
          <w:sz w:val="28"/>
          <w:szCs w:val="28"/>
        </w:rPr>
        <w:t>es īstenošanu</w:t>
      </w:r>
      <w:r w:rsidR="00AE1C4A" w:rsidRPr="00A82650">
        <w:rPr>
          <w:b/>
          <w:bCs/>
          <w:sz w:val="28"/>
          <w:szCs w:val="28"/>
        </w:rPr>
        <w:t>.</w:t>
      </w:r>
      <w:r w:rsidR="00AE1C4A" w:rsidRPr="00A82650">
        <w:rPr>
          <w:sz w:val="28"/>
          <w:szCs w:val="28"/>
        </w:rPr>
        <w:t xml:space="preserve"> </w:t>
      </w:r>
    </w:p>
    <w:p w14:paraId="1B49D286" w14:textId="350B9B5C" w:rsidR="00AE1C4A" w:rsidRDefault="00AE1C4A" w:rsidP="00167A30">
      <w:pPr>
        <w:ind w:firstLine="567"/>
        <w:jc w:val="both"/>
        <w:rPr>
          <w:sz w:val="28"/>
          <w:szCs w:val="28"/>
        </w:rPr>
      </w:pPr>
      <w:r>
        <w:rPr>
          <w:sz w:val="28"/>
          <w:szCs w:val="28"/>
        </w:rPr>
        <w:t xml:space="preserve">Ņemot vērā </w:t>
      </w:r>
      <w:r w:rsidR="001E5220">
        <w:rPr>
          <w:sz w:val="28"/>
          <w:szCs w:val="28"/>
        </w:rPr>
        <w:t xml:space="preserve">kopējo Eiropas Savienības </w:t>
      </w:r>
      <w:r>
        <w:rPr>
          <w:sz w:val="28"/>
          <w:szCs w:val="28"/>
        </w:rPr>
        <w:t>normatīvo regulējumu publisko iepirkumu jomā, šobrīd nav iespējam</w:t>
      </w:r>
      <w:r w:rsidR="001E5220">
        <w:rPr>
          <w:sz w:val="28"/>
          <w:szCs w:val="28"/>
        </w:rPr>
        <w:t>s ar grozījumiem ieviest</w:t>
      </w:r>
      <w:r>
        <w:rPr>
          <w:sz w:val="28"/>
          <w:szCs w:val="28"/>
        </w:rPr>
        <w:t xml:space="preserve"> līgumcenas indeksācij</w:t>
      </w:r>
      <w:r w:rsidR="001E5220">
        <w:rPr>
          <w:sz w:val="28"/>
          <w:szCs w:val="28"/>
        </w:rPr>
        <w:t>u</w:t>
      </w:r>
      <w:r>
        <w:rPr>
          <w:sz w:val="28"/>
          <w:szCs w:val="28"/>
        </w:rPr>
        <w:t xml:space="preserve"> noslēgt</w:t>
      </w:r>
      <w:r w:rsidR="001E5220">
        <w:rPr>
          <w:sz w:val="28"/>
          <w:szCs w:val="28"/>
        </w:rPr>
        <w:t>ajos</w:t>
      </w:r>
      <w:r>
        <w:rPr>
          <w:sz w:val="28"/>
          <w:szCs w:val="28"/>
        </w:rPr>
        <w:t xml:space="preserve"> </w:t>
      </w:r>
      <w:r w:rsidR="001E5220">
        <w:rPr>
          <w:sz w:val="28"/>
          <w:szCs w:val="28"/>
        </w:rPr>
        <w:t xml:space="preserve">publiskos </w:t>
      </w:r>
      <w:r>
        <w:rPr>
          <w:sz w:val="28"/>
          <w:szCs w:val="28"/>
        </w:rPr>
        <w:t>būvdarbu līgum</w:t>
      </w:r>
      <w:r w:rsidR="001E5220">
        <w:rPr>
          <w:sz w:val="28"/>
          <w:szCs w:val="28"/>
        </w:rPr>
        <w:t>os</w:t>
      </w:r>
      <w:r w:rsidR="00002E01">
        <w:rPr>
          <w:sz w:val="28"/>
          <w:szCs w:val="28"/>
        </w:rPr>
        <w:t>, kuros tā jau sākotnēji nav paredzēta.</w:t>
      </w:r>
      <w:r w:rsidR="0072145A">
        <w:rPr>
          <w:sz w:val="28"/>
          <w:szCs w:val="28"/>
        </w:rPr>
        <w:t xml:space="preserve"> </w:t>
      </w:r>
      <w:r w:rsidR="00002E01">
        <w:rPr>
          <w:sz w:val="28"/>
          <w:szCs w:val="28"/>
        </w:rPr>
        <w:t>I</w:t>
      </w:r>
      <w:r>
        <w:rPr>
          <w:sz w:val="28"/>
          <w:szCs w:val="28"/>
        </w:rPr>
        <w:t xml:space="preserve">ndeksācijas ieviešana </w:t>
      </w:r>
      <w:r w:rsidR="001E5220">
        <w:rPr>
          <w:sz w:val="28"/>
          <w:szCs w:val="28"/>
        </w:rPr>
        <w:t xml:space="preserve">būtu pretrunā ar </w:t>
      </w:r>
      <w:r w:rsidR="001E5220" w:rsidRPr="001E5220">
        <w:rPr>
          <w:sz w:val="28"/>
          <w:szCs w:val="28"/>
        </w:rPr>
        <w:t>Eiropas Savienības un attiecīgi Latvijas normatīv</w:t>
      </w:r>
      <w:r w:rsidR="001E5220">
        <w:rPr>
          <w:sz w:val="28"/>
          <w:szCs w:val="28"/>
        </w:rPr>
        <w:t>os</w:t>
      </w:r>
      <w:r w:rsidR="001E5220" w:rsidRPr="001E5220">
        <w:rPr>
          <w:sz w:val="28"/>
          <w:szCs w:val="28"/>
        </w:rPr>
        <w:t xml:space="preserve"> akt</w:t>
      </w:r>
      <w:r w:rsidR="001E5220">
        <w:rPr>
          <w:sz w:val="28"/>
          <w:szCs w:val="28"/>
        </w:rPr>
        <w:t xml:space="preserve">os nostiprināto </w:t>
      </w:r>
      <w:r w:rsidR="001E5220" w:rsidRPr="001E5220">
        <w:rPr>
          <w:sz w:val="28"/>
          <w:szCs w:val="28"/>
        </w:rPr>
        <w:t>pamatprincip</w:t>
      </w:r>
      <w:r w:rsidR="001E5220">
        <w:rPr>
          <w:sz w:val="28"/>
          <w:szCs w:val="28"/>
        </w:rPr>
        <w:t xml:space="preserve">u, saskaņā ar kuru </w:t>
      </w:r>
      <w:r w:rsidR="001E5220" w:rsidRPr="001E5220">
        <w:rPr>
          <w:sz w:val="28"/>
          <w:szCs w:val="28"/>
        </w:rPr>
        <w:t>līgums izpildāms tā, kā tas paredzēts pašā noslēgtajā līgumā, savukārt līgumā neparedzētas izmaiņas iespējamas izņēmuma gadījumā.</w:t>
      </w:r>
      <w:r w:rsidR="001E5220">
        <w:rPr>
          <w:sz w:val="28"/>
          <w:szCs w:val="28"/>
        </w:rPr>
        <w:t xml:space="preserve"> </w:t>
      </w:r>
    </w:p>
    <w:p w14:paraId="38FE1D20" w14:textId="2122BCF1" w:rsidR="00B64EE9" w:rsidRDefault="00B64EE9" w:rsidP="00167A30">
      <w:pPr>
        <w:ind w:firstLine="567"/>
        <w:jc w:val="both"/>
        <w:rPr>
          <w:sz w:val="28"/>
          <w:szCs w:val="28"/>
        </w:rPr>
      </w:pPr>
      <w:r>
        <w:rPr>
          <w:sz w:val="28"/>
          <w:szCs w:val="28"/>
        </w:rPr>
        <w:t>Jāvērš uzmanība, ka Publisko iepirkumu likuma 61.panta piektā daļa, Sabiedrisko pakalpojumu sniedzēju iepirkuma likuma 66.panta piektā daļa un Publiskās un privātās partnerības likuma 63.panta piektā daļa pieļauj</w:t>
      </w:r>
      <w:r w:rsidR="004F7EF4">
        <w:rPr>
          <w:sz w:val="28"/>
          <w:szCs w:val="28"/>
        </w:rPr>
        <w:t xml:space="preserve"> </w:t>
      </w:r>
      <w:r w:rsidR="004F7EF4" w:rsidRPr="004F7EF4">
        <w:rPr>
          <w:sz w:val="28"/>
          <w:szCs w:val="28"/>
        </w:rPr>
        <w:t>grozījumu veikšanu, nevērtējot to būtiskumu</w:t>
      </w:r>
      <w:r>
        <w:rPr>
          <w:sz w:val="28"/>
          <w:szCs w:val="28"/>
        </w:rPr>
        <w:t xml:space="preserve">. Šajā gadījumā grozījumi nav jāpamato ar neparedzētiem apstākļiem. </w:t>
      </w:r>
    </w:p>
    <w:p w14:paraId="74BEA9B3" w14:textId="2CB763E3" w:rsidR="00B64EE9" w:rsidRDefault="00B64EE9" w:rsidP="00167A30">
      <w:pPr>
        <w:ind w:firstLine="567"/>
        <w:jc w:val="both"/>
        <w:rPr>
          <w:sz w:val="28"/>
          <w:szCs w:val="28"/>
        </w:rPr>
      </w:pPr>
      <w:r>
        <w:rPr>
          <w:sz w:val="28"/>
          <w:szCs w:val="28"/>
        </w:rPr>
        <w:t>Sīkākā informācija par iespēju grozīt publiskos būvdarbu līgumus un grozījumu veikšanas kārtība ir sniegta Iepirkumu uzraudzības biroja interneta mājaslapā publicētajā skaidrojumā “</w:t>
      </w:r>
      <w:r>
        <w:rPr>
          <w:rFonts w:ascii="RobustaTLPro-Medium" w:hAnsi="RobustaTLPro-Medium"/>
          <w:color w:val="1C1C1C"/>
          <w:sz w:val="27"/>
          <w:szCs w:val="27"/>
          <w:shd w:val="clear" w:color="auto" w:fill="FFFFFF"/>
        </w:rPr>
        <w:t>Līgumu vadība krīzes apstākļos!” (</w:t>
      </w:r>
      <w:hyperlink r:id="rId15" w:history="1">
        <w:r w:rsidRPr="00B50D1B">
          <w:rPr>
            <w:rStyle w:val="Hyperlink"/>
            <w:rFonts w:ascii="RobustaTLPro-Medium" w:hAnsi="RobustaTLPro-Medium"/>
            <w:sz w:val="27"/>
            <w:szCs w:val="27"/>
            <w:shd w:val="clear" w:color="auto" w:fill="FFFFFF"/>
          </w:rPr>
          <w:t>https://www.iub.gov.lv/lv/jaunums/ligumu-vadiba-krizes-apstaklos</w:t>
        </w:r>
      </w:hyperlink>
      <w:r>
        <w:rPr>
          <w:rFonts w:ascii="RobustaTLPro-Medium" w:hAnsi="RobustaTLPro-Medium"/>
          <w:color w:val="1C1C1C"/>
          <w:sz w:val="27"/>
          <w:szCs w:val="27"/>
          <w:shd w:val="clear" w:color="auto" w:fill="FFFFFF"/>
        </w:rPr>
        <w:t xml:space="preserve">). </w:t>
      </w:r>
    </w:p>
    <w:p w14:paraId="52A0C961" w14:textId="77777777" w:rsidR="001E5220" w:rsidRDefault="001E5220" w:rsidP="00167A30">
      <w:pPr>
        <w:ind w:firstLine="567"/>
        <w:jc w:val="both"/>
        <w:rPr>
          <w:sz w:val="28"/>
          <w:szCs w:val="28"/>
        </w:rPr>
      </w:pPr>
    </w:p>
    <w:p w14:paraId="722AC8E6" w14:textId="4F9E4DF2" w:rsidR="003340C3" w:rsidRPr="003340C3" w:rsidRDefault="003340C3" w:rsidP="003340C3">
      <w:pPr>
        <w:jc w:val="both"/>
        <w:rPr>
          <w:i/>
          <w:iCs/>
          <w:color w:val="548DD4" w:themeColor="text2" w:themeTint="99"/>
          <w:sz w:val="28"/>
          <w:szCs w:val="28"/>
        </w:rPr>
      </w:pPr>
      <w:r w:rsidRPr="003340C3">
        <w:rPr>
          <w:i/>
          <w:iCs/>
          <w:color w:val="548DD4" w:themeColor="text2" w:themeTint="99"/>
          <w:sz w:val="28"/>
          <w:szCs w:val="28"/>
        </w:rPr>
        <w:t>No jauna ierosināmie publiskie būvdarbu iepirkumi</w:t>
      </w:r>
      <w:r>
        <w:rPr>
          <w:i/>
          <w:iCs/>
          <w:color w:val="548DD4" w:themeColor="text2" w:themeTint="99"/>
          <w:sz w:val="28"/>
          <w:szCs w:val="28"/>
        </w:rPr>
        <w:t>.</w:t>
      </w:r>
    </w:p>
    <w:p w14:paraId="607003AD" w14:textId="77777777" w:rsidR="008B4BDD" w:rsidRDefault="003340C3" w:rsidP="00167A30">
      <w:pPr>
        <w:ind w:firstLine="567"/>
        <w:jc w:val="both"/>
        <w:rPr>
          <w:sz w:val="28"/>
          <w:szCs w:val="28"/>
        </w:rPr>
      </w:pPr>
      <w:r>
        <w:rPr>
          <w:sz w:val="28"/>
          <w:szCs w:val="28"/>
        </w:rPr>
        <w:t xml:space="preserve">Būvniecības nozares pieredze pēdējos divos gados izgaismoja vairākas nepilnības publisko būvdarbu līgumu regulējumā. </w:t>
      </w:r>
    </w:p>
    <w:p w14:paraId="66117DD3" w14:textId="49E82862" w:rsidR="008B4BDD" w:rsidRDefault="003340C3" w:rsidP="00167A30">
      <w:pPr>
        <w:ind w:firstLine="567"/>
        <w:jc w:val="both"/>
        <w:rPr>
          <w:sz w:val="28"/>
          <w:szCs w:val="28"/>
        </w:rPr>
      </w:pPr>
      <w:r>
        <w:rPr>
          <w:sz w:val="28"/>
          <w:szCs w:val="28"/>
        </w:rPr>
        <w:t xml:space="preserve">Pirmkārt, līgumos nepietiekamā uzmanība ir pievērsta neparedzēto apstākļu, jeb </w:t>
      </w:r>
      <w:proofErr w:type="spellStart"/>
      <w:r>
        <w:rPr>
          <w:i/>
          <w:iCs/>
          <w:sz w:val="28"/>
          <w:szCs w:val="28"/>
        </w:rPr>
        <w:t>force</w:t>
      </w:r>
      <w:proofErr w:type="spellEnd"/>
      <w:r>
        <w:rPr>
          <w:i/>
          <w:iCs/>
          <w:sz w:val="28"/>
          <w:szCs w:val="28"/>
        </w:rPr>
        <w:t xml:space="preserve"> </w:t>
      </w:r>
      <w:proofErr w:type="spellStart"/>
      <w:r>
        <w:rPr>
          <w:i/>
          <w:iCs/>
          <w:sz w:val="28"/>
          <w:szCs w:val="28"/>
        </w:rPr>
        <w:t>majeure</w:t>
      </w:r>
      <w:proofErr w:type="spellEnd"/>
      <w:r>
        <w:rPr>
          <w:i/>
          <w:iCs/>
          <w:sz w:val="28"/>
          <w:szCs w:val="28"/>
        </w:rPr>
        <w:t xml:space="preserve"> </w:t>
      </w:r>
      <w:r>
        <w:rPr>
          <w:sz w:val="28"/>
          <w:szCs w:val="28"/>
        </w:rPr>
        <w:t>noteikumiem, kā rezultātā abas līgumslēdzējpuses nespēj efektīvi aizsargāt savas intereses, iestājoties tādiem iepriekš neprognozētiem apstākļiem, ka</w:t>
      </w:r>
      <w:r w:rsidR="00A02070">
        <w:rPr>
          <w:sz w:val="28"/>
          <w:szCs w:val="28"/>
        </w:rPr>
        <w:t>s</w:t>
      </w:r>
      <w:r>
        <w:rPr>
          <w:sz w:val="28"/>
          <w:szCs w:val="28"/>
        </w:rPr>
        <w:t xml:space="preserve"> būtiski apgrūtina iepriekš uzņemto saistību izpildi, vai padara šādu izpildi par neiespējamu. </w:t>
      </w:r>
    </w:p>
    <w:p w14:paraId="422A4413" w14:textId="16BEA63B" w:rsidR="009F62DC" w:rsidRDefault="003340C3" w:rsidP="00167A30">
      <w:pPr>
        <w:ind w:firstLine="567"/>
        <w:jc w:val="both"/>
        <w:rPr>
          <w:sz w:val="28"/>
          <w:szCs w:val="28"/>
        </w:rPr>
      </w:pPr>
      <w:r>
        <w:rPr>
          <w:sz w:val="28"/>
          <w:szCs w:val="28"/>
        </w:rPr>
        <w:t>Otrkārt</w:t>
      </w:r>
      <w:r w:rsidR="00F92E05">
        <w:rPr>
          <w:sz w:val="28"/>
          <w:szCs w:val="28"/>
        </w:rPr>
        <w:t>,</w:t>
      </w:r>
      <w:r>
        <w:rPr>
          <w:sz w:val="28"/>
          <w:szCs w:val="28"/>
        </w:rPr>
        <w:t xml:space="preserve"> publiskajos būvdarbu līgumos n</w:t>
      </w:r>
      <w:r w:rsidR="008B4BDD">
        <w:rPr>
          <w:sz w:val="28"/>
          <w:szCs w:val="28"/>
        </w:rPr>
        <w:t xml:space="preserve">etiek </w:t>
      </w:r>
      <w:r w:rsidR="00F92E05">
        <w:rPr>
          <w:sz w:val="28"/>
          <w:szCs w:val="28"/>
        </w:rPr>
        <w:t xml:space="preserve">ietverti līgumcenas indeksācijas noteikumi, kas ir instruments riska sadalīšanai starp pasūtītāju un būvdarbu veicēju būvniecības izmaksu izmaiņu rezultātā. Vairums līdz šim noslēgto līgumu nepieļauj līgumcenas grozīšanu vai līgumcenas indeksāciju, visu risku saistībā ar būvniecības izmaksu svārstībām uzņemoties būvdarbu veicējam. </w:t>
      </w:r>
    </w:p>
    <w:p w14:paraId="49B02502" w14:textId="218C70E9" w:rsidR="00C66CF3" w:rsidRDefault="009F62DC" w:rsidP="00167A30">
      <w:pPr>
        <w:ind w:firstLine="567"/>
        <w:jc w:val="both"/>
        <w:rPr>
          <w:sz w:val="28"/>
          <w:szCs w:val="28"/>
        </w:rPr>
      </w:pPr>
      <w:r>
        <w:rPr>
          <w:sz w:val="28"/>
          <w:szCs w:val="28"/>
        </w:rPr>
        <w:t>Fiksētās līgumcenas paredzēšana publiskajos būvdarbu līgumos ir</w:t>
      </w:r>
      <w:r w:rsidR="006F2AC5">
        <w:rPr>
          <w:sz w:val="28"/>
          <w:szCs w:val="28"/>
        </w:rPr>
        <w:t xml:space="preserve"> efektīva īstermiņa līgumos</w:t>
      </w:r>
      <w:r>
        <w:rPr>
          <w:sz w:val="28"/>
          <w:szCs w:val="28"/>
        </w:rPr>
        <w:t xml:space="preserve">, </w:t>
      </w:r>
      <w:r w:rsidR="006F2AC5">
        <w:rPr>
          <w:sz w:val="28"/>
          <w:szCs w:val="28"/>
        </w:rPr>
        <w:t>kā arī pie stabilās un prognozējamās būvniecības nozares attīstības, t.i. gadījumos, kad būvdarbu veicējs spēj objektīvi noteikt būvdarbu izmaksas. Savukārt pie tirgus satricinājumiem un būvdarbu cenu straujām izmaiņām, fiksētā cena kļūst reāliem apstākļiem neatbilstoša. Būvdarbu veicējs</w:t>
      </w:r>
      <w:r w:rsidR="00272ADD">
        <w:rPr>
          <w:sz w:val="28"/>
          <w:szCs w:val="28"/>
        </w:rPr>
        <w:t xml:space="preserve">, </w:t>
      </w:r>
      <w:r w:rsidR="00272ADD">
        <w:rPr>
          <w:sz w:val="28"/>
          <w:szCs w:val="28"/>
        </w:rPr>
        <w:lastRenderedPageBreak/>
        <w:t xml:space="preserve">izvairoties no zaudējumiem, meklēs iespēju ietaupīt, tai skaitā uz būvdarbu kvalitātes rēķina vai daļēji ieejot ēnu ekonomikā, savukārt nespēdams zaudējumus kompensēt, izbeigs līgumu vienpusējā kārtā, atstājot nepabeigtu objektu. </w:t>
      </w:r>
      <w:r w:rsidR="006F2AC5">
        <w:rPr>
          <w:sz w:val="28"/>
          <w:szCs w:val="28"/>
        </w:rPr>
        <w:t xml:space="preserve"> </w:t>
      </w:r>
      <w:r w:rsidR="00272ADD">
        <w:rPr>
          <w:sz w:val="28"/>
          <w:szCs w:val="28"/>
        </w:rPr>
        <w:t xml:space="preserve">Cenu indeksācija, ja tās noteikumi ir samērīgi, ir instruments risku vadībai cenu izmaiņu gadījumā, aizsargājot abu līgumslēdzējpušu intereses. </w:t>
      </w:r>
    </w:p>
    <w:p w14:paraId="05B2EB7C" w14:textId="380CF7ED" w:rsidR="00F92E05" w:rsidRDefault="00F92E05" w:rsidP="00F92E05">
      <w:pPr>
        <w:ind w:firstLine="567"/>
        <w:jc w:val="both"/>
        <w:rPr>
          <w:sz w:val="28"/>
          <w:szCs w:val="28"/>
        </w:rPr>
      </w:pPr>
      <w:r>
        <w:rPr>
          <w:sz w:val="28"/>
          <w:szCs w:val="28"/>
        </w:rPr>
        <w:t xml:space="preserve">Ekonomikas ministrija atbilstoši Būvniecības likuma 5.pantā dotajam deleģējumam ir izstrādājusi noteikumu projektu </w:t>
      </w:r>
      <w:r w:rsidRPr="00F92E05">
        <w:rPr>
          <w:i/>
          <w:iCs/>
          <w:sz w:val="28"/>
          <w:szCs w:val="28"/>
        </w:rPr>
        <w:t>Noteikumi par publisko būvdarbu līgumos obligāti iekļaujamiem noteikumiem un to saturu</w:t>
      </w:r>
      <w:r>
        <w:rPr>
          <w:i/>
          <w:iCs/>
          <w:sz w:val="28"/>
          <w:szCs w:val="28"/>
        </w:rPr>
        <w:t xml:space="preserve"> </w:t>
      </w:r>
      <w:r>
        <w:rPr>
          <w:sz w:val="28"/>
          <w:szCs w:val="28"/>
        </w:rPr>
        <w:t>(</w:t>
      </w:r>
      <w:r w:rsidRPr="00F92E05">
        <w:rPr>
          <w:sz w:val="28"/>
          <w:szCs w:val="28"/>
        </w:rPr>
        <w:t>21-TA-110</w:t>
      </w:r>
      <w:r>
        <w:rPr>
          <w:sz w:val="28"/>
          <w:szCs w:val="28"/>
        </w:rPr>
        <w:t>). Noteikumu projekts ir papildināts ar regulējumu, kas paredz pienākumu pasūtītājam publiskajos būvdarbu līgumos ietvert līgumcenas indeksācijas noteikumus. Noteikumu projekts nenosaka konkrētu indeksācijas modeli vai indeksācijas noteikumus, atstājot to līgumslēdzējpušu kompetencē.</w:t>
      </w:r>
    </w:p>
    <w:p w14:paraId="057D506A" w14:textId="3382AB01" w:rsidR="00002E01" w:rsidRDefault="00F92E05" w:rsidP="00002E01">
      <w:pPr>
        <w:ind w:firstLine="567"/>
        <w:jc w:val="both"/>
        <w:rPr>
          <w:sz w:val="28"/>
          <w:szCs w:val="28"/>
        </w:rPr>
      </w:pPr>
      <w:r>
        <w:rPr>
          <w:sz w:val="28"/>
          <w:szCs w:val="28"/>
        </w:rPr>
        <w:t xml:space="preserve">Noteikumu projekts </w:t>
      </w:r>
      <w:r w:rsidR="003E6997">
        <w:rPr>
          <w:sz w:val="28"/>
          <w:szCs w:val="28"/>
        </w:rPr>
        <w:t xml:space="preserve">šā gada aprīlī tiks iesniegts izskatīšanai </w:t>
      </w:r>
      <w:r>
        <w:rPr>
          <w:sz w:val="28"/>
          <w:szCs w:val="28"/>
        </w:rPr>
        <w:t xml:space="preserve">Valsts sekretāru sanāksmē un Ministru kabineta. </w:t>
      </w:r>
    </w:p>
    <w:p w14:paraId="2EC92D59" w14:textId="28035743" w:rsidR="00F92E05" w:rsidRDefault="00F92E05" w:rsidP="00F92E05">
      <w:pPr>
        <w:ind w:firstLine="567"/>
        <w:jc w:val="both"/>
        <w:rPr>
          <w:sz w:val="28"/>
          <w:szCs w:val="28"/>
        </w:rPr>
      </w:pPr>
      <w:r>
        <w:rPr>
          <w:sz w:val="28"/>
          <w:szCs w:val="28"/>
        </w:rPr>
        <w:t xml:space="preserve">Līgumcenas indeksācijas noteikumu iekļaušana </w:t>
      </w:r>
      <w:r w:rsidR="00191DC2">
        <w:rPr>
          <w:sz w:val="28"/>
          <w:szCs w:val="28"/>
        </w:rPr>
        <w:t>publiskajos būvdarbu līgumos</w:t>
      </w:r>
      <w:r w:rsidR="003D0E13">
        <w:rPr>
          <w:sz w:val="28"/>
          <w:szCs w:val="28"/>
        </w:rPr>
        <w:t xml:space="preserve"> ieviesīs skaidrību attiecībā uz pušu tiesībām un pienākumiem būvniecības izmaksu strauju svārstību gadījumā. </w:t>
      </w:r>
      <w:r w:rsidR="00002E01">
        <w:rPr>
          <w:sz w:val="28"/>
          <w:szCs w:val="28"/>
        </w:rPr>
        <w:t xml:space="preserve">Lai nodrošinātu jēgpilnu un darbotiesspējīgu indeksācijas modeli, Ekonomikas ministrija sadarbībā ar būvniecības nozares pārstāvjiem un pasūtītāju interešu pārstāvjiem izstrādās vadlīnijas, ietverot tajās vispārīgos līgumcenas indeksācijas modeļus, kā arī ieteikumus pasūtītājiem atsevišķiem indeksācijas piemērošanas aspektiem. </w:t>
      </w:r>
    </w:p>
    <w:p w14:paraId="5FFAF03B" w14:textId="521258D2" w:rsidR="0083723C" w:rsidRDefault="009530DD" w:rsidP="0083723C">
      <w:pPr>
        <w:ind w:firstLine="567"/>
        <w:jc w:val="both"/>
        <w:rPr>
          <w:sz w:val="28"/>
          <w:szCs w:val="28"/>
        </w:rPr>
      </w:pPr>
      <w:r>
        <w:rPr>
          <w:sz w:val="28"/>
          <w:szCs w:val="28"/>
        </w:rPr>
        <w:t xml:space="preserve">Papildus būtu jānorāda, ka </w:t>
      </w:r>
      <w:r w:rsidR="00673975">
        <w:rPr>
          <w:sz w:val="28"/>
          <w:szCs w:val="28"/>
        </w:rPr>
        <w:t xml:space="preserve">normatīvais regulējums </w:t>
      </w:r>
      <w:r>
        <w:rPr>
          <w:sz w:val="28"/>
          <w:szCs w:val="28"/>
        </w:rPr>
        <w:t>jau šobrīd</w:t>
      </w:r>
      <w:r w:rsidR="00BC2894">
        <w:rPr>
          <w:sz w:val="28"/>
          <w:szCs w:val="28"/>
        </w:rPr>
        <w:t>, plānojot un veicot publiskos iepirkumus,</w:t>
      </w:r>
      <w:r>
        <w:rPr>
          <w:sz w:val="28"/>
          <w:szCs w:val="28"/>
        </w:rPr>
        <w:t xml:space="preserve"> </w:t>
      </w:r>
      <w:r w:rsidR="00673975">
        <w:rPr>
          <w:sz w:val="28"/>
          <w:szCs w:val="28"/>
        </w:rPr>
        <w:t xml:space="preserve">neliedz </w:t>
      </w:r>
      <w:r>
        <w:rPr>
          <w:sz w:val="28"/>
          <w:szCs w:val="28"/>
        </w:rPr>
        <w:t xml:space="preserve">iekļaut līgumcenas indeksācijas noteikumus </w:t>
      </w:r>
      <w:r w:rsidRPr="00BC2894">
        <w:rPr>
          <w:sz w:val="28"/>
          <w:szCs w:val="28"/>
        </w:rPr>
        <w:t>publisk</w:t>
      </w:r>
      <w:r w:rsidR="00BC2894">
        <w:rPr>
          <w:sz w:val="28"/>
          <w:szCs w:val="28"/>
        </w:rPr>
        <w:t>o</w:t>
      </w:r>
      <w:r w:rsidRPr="00BC2894">
        <w:rPr>
          <w:sz w:val="28"/>
          <w:szCs w:val="28"/>
        </w:rPr>
        <w:t xml:space="preserve"> </w:t>
      </w:r>
      <w:r w:rsidR="00BC2894">
        <w:rPr>
          <w:sz w:val="28"/>
          <w:szCs w:val="28"/>
        </w:rPr>
        <w:t xml:space="preserve">iepirkumu dokumentācijā un attiecīgi pēc tam </w:t>
      </w:r>
      <w:r w:rsidRPr="00BC2894">
        <w:rPr>
          <w:sz w:val="28"/>
          <w:szCs w:val="28"/>
        </w:rPr>
        <w:t>būvdarbu</w:t>
      </w:r>
      <w:r>
        <w:rPr>
          <w:sz w:val="28"/>
          <w:szCs w:val="28"/>
        </w:rPr>
        <w:t xml:space="preserve"> līgumos</w:t>
      </w:r>
      <w:r w:rsidR="009F62DC">
        <w:rPr>
          <w:sz w:val="28"/>
          <w:szCs w:val="28"/>
        </w:rPr>
        <w:t>, ja šādi noteikumi ir paredzēti jau publiskā iepirkuma norises laikā, vienlaikus pasūtītājam nodrošinot finansējumu un nepārkāpjot likumā Par Budžetu un finanšu vadību paredzētos noteikumus, lai uzņemtos saistības.</w:t>
      </w:r>
      <w:r w:rsidR="00404863" w:rsidRPr="00404863">
        <w:t xml:space="preserve"> </w:t>
      </w:r>
      <w:r w:rsidR="00404863" w:rsidRPr="00404863">
        <w:rPr>
          <w:sz w:val="28"/>
          <w:szCs w:val="28"/>
        </w:rPr>
        <w:t>Budžeta iestādei, slēdzot būvdarbu līgumu, būs jānodrošina arī tajā paredzētā indeksācijas nosacījumu izpilde, ņemot vērā, ka atbilstoši Likuma par budžetu un finanšu vadību 46.pantā noteiktajam uzņemtās saistības, kas pārsniedz piešķirto asignējumu vai pilnvaras plānotajām saistībām nākotnē, nav uzskatāmas par valsts saistībām, attiecīgi budžeta iestādēm līguma slēgšanas brīdī ir jābūt skaidram, no kādiem līdzekļiem tās segs saistības, kas veidosies indeksācijas nosacījumu izpildes rezultātā. Lai izpildītu normatīvos aktos noteiktās prasības, slēdzot līgumus nepieciešams noteikt maksimālos indeksācijas griestus, vienlaikus veidojot arī finanšu resursu rezervi to izpildei</w:t>
      </w:r>
      <w:r w:rsidR="00C07F96">
        <w:rPr>
          <w:sz w:val="28"/>
          <w:szCs w:val="28"/>
        </w:rPr>
        <w:t xml:space="preserve"> visā līguma periodā</w:t>
      </w:r>
      <w:r w:rsidR="00404863" w:rsidRPr="00404863">
        <w:rPr>
          <w:sz w:val="28"/>
          <w:szCs w:val="28"/>
        </w:rPr>
        <w:t>.</w:t>
      </w:r>
      <w:r w:rsidR="00C07F96">
        <w:rPr>
          <w:sz w:val="28"/>
          <w:szCs w:val="28"/>
        </w:rPr>
        <w:t xml:space="preserve"> </w:t>
      </w:r>
    </w:p>
    <w:p w14:paraId="1CA49F2D" w14:textId="73767914" w:rsidR="000104B1" w:rsidRDefault="000104B1" w:rsidP="00A33996">
      <w:pPr>
        <w:ind w:firstLine="567"/>
        <w:jc w:val="both"/>
        <w:rPr>
          <w:b/>
          <w:bCs/>
          <w:color w:val="548DD4" w:themeColor="text2" w:themeTint="99"/>
          <w:sz w:val="28"/>
          <w:szCs w:val="28"/>
        </w:rPr>
      </w:pPr>
    </w:p>
    <w:p w14:paraId="6C92565E" w14:textId="51FE1CD3" w:rsidR="00A33996" w:rsidRPr="00A33996" w:rsidRDefault="00A33996" w:rsidP="00F56A72">
      <w:pPr>
        <w:jc w:val="both"/>
        <w:rPr>
          <w:b/>
          <w:bCs/>
          <w:color w:val="548DD4" w:themeColor="text2" w:themeTint="99"/>
          <w:sz w:val="28"/>
          <w:szCs w:val="28"/>
        </w:rPr>
      </w:pPr>
      <w:r w:rsidRPr="00A33996">
        <w:rPr>
          <w:b/>
          <w:bCs/>
          <w:color w:val="548DD4" w:themeColor="text2" w:themeTint="99"/>
          <w:sz w:val="28"/>
          <w:szCs w:val="28"/>
        </w:rPr>
        <w:t>Komercdarbības atbalsta kontroles aspekti</w:t>
      </w:r>
    </w:p>
    <w:p w14:paraId="45083DA6" w14:textId="77777777" w:rsidR="00A33996" w:rsidRPr="00A33996" w:rsidRDefault="00A33996" w:rsidP="00A33996">
      <w:pPr>
        <w:ind w:firstLine="567"/>
        <w:jc w:val="both"/>
        <w:rPr>
          <w:sz w:val="28"/>
          <w:szCs w:val="28"/>
        </w:rPr>
      </w:pPr>
    </w:p>
    <w:p w14:paraId="6831D98D" w14:textId="77777777" w:rsidR="00A33996" w:rsidRPr="003E6997" w:rsidRDefault="00A33996" w:rsidP="00F56A72">
      <w:pPr>
        <w:ind w:firstLine="720"/>
        <w:jc w:val="both"/>
        <w:rPr>
          <w:sz w:val="28"/>
          <w:szCs w:val="28"/>
        </w:rPr>
      </w:pPr>
      <w:r w:rsidRPr="003E6997">
        <w:rPr>
          <w:sz w:val="28"/>
          <w:szCs w:val="28"/>
        </w:rPr>
        <w:t xml:space="preserve">Papildus, gadījumā, ja publiskā pasūtītāja īstenotais projekts ir kvalificēts kā komercdarbības atbalsts, ir jāizvērtē, vai vispār un saskaņā ar kādu valsts atbalsta regulējumu līguma cenas palielināšanu (t.i., papildu izdevumu segšanu no publiskajiem līdzekļiem) drīkstētu veikt. Līdz ar to, gadījumā, ja īstenotā projekta ietvaros tiek attīstīta tāda infrastruktūra, kas ir publiska, un komercdarbības atbalsta regulējums nav bijis jāpiemēro, papildus izmaksu </w:t>
      </w:r>
      <w:r w:rsidRPr="003E6997">
        <w:rPr>
          <w:sz w:val="28"/>
          <w:szCs w:val="28"/>
        </w:rPr>
        <w:lastRenderedPageBreak/>
        <w:t>segšana no komercdarbības atbalsta kontroles būtu pieļaujama. Savukārt, gadījumā, ja publiskais pasūtītājs projektu īstenojis, piemērojot Komisijas 2014.gada 17.jūnija Regulu Nr.651/2014, ar ko noteiktas atbalsta kategorijas atzīst par saderīgām ar iekšējo tirgu, piemērojot Līguma 107. un 108.pantu (turpmāk – Komisijas Regula Nr.651/2014), publiskais pasūtītājs papildu būvlaukumu uzturēšanas izmaksu segšanu no publiskajiem līdzekļiem nevarētu veikt, ņemot vērā, ka tad tiktu pārkāpts minētās regulas 6.panta 2.punkta nosacījums par atbalsta stimulējošo ietekmi (gadījumos, kad stimulējošās ietekmes prasība ir piemērojama), kā arī varētu tikt pārkāpti citi piemērojamie minētās regulas nosacījumi, kas noteikti attiecīgajam specifiskajam atbalsta mērķim (piemēram, maksimālā atbalsta intensitāte vai atbalsta summa). Attiecīgi publiskajam pasūtītājam, lemjot par līguma grozījumu iespējamību, atsevišķos gadījumos var būt nepieciešams vērtēt ne tikai nosacījumus, kas izriet no iepirkuma līguma un Publisko iepirkumu likuma regulējuma, bet arī no komercdarbības atbalsta regulējuma aspekta.</w:t>
      </w:r>
    </w:p>
    <w:p w14:paraId="0C64E9F1" w14:textId="3126DAFC" w:rsidR="009530DD" w:rsidRDefault="009530DD" w:rsidP="00F92E05">
      <w:pPr>
        <w:ind w:firstLine="567"/>
        <w:jc w:val="both"/>
        <w:rPr>
          <w:sz w:val="28"/>
          <w:szCs w:val="28"/>
        </w:rPr>
      </w:pPr>
    </w:p>
    <w:p w14:paraId="3AABB41D" w14:textId="2DDF0171" w:rsidR="009530DD" w:rsidRDefault="009530DD" w:rsidP="00F56A72">
      <w:pPr>
        <w:jc w:val="both"/>
        <w:rPr>
          <w:b/>
          <w:bCs/>
          <w:color w:val="548DD4" w:themeColor="text2" w:themeTint="99"/>
          <w:sz w:val="28"/>
          <w:szCs w:val="28"/>
        </w:rPr>
      </w:pPr>
      <w:r w:rsidRPr="009530DD">
        <w:rPr>
          <w:b/>
          <w:bCs/>
          <w:color w:val="548DD4" w:themeColor="text2" w:themeTint="99"/>
          <w:sz w:val="28"/>
          <w:szCs w:val="28"/>
        </w:rPr>
        <w:t xml:space="preserve">Atsevišķi aspekti Eiropas Savienības vai citu ārvalstu finanšu </w:t>
      </w:r>
      <w:r w:rsidR="00A56DD5">
        <w:rPr>
          <w:b/>
          <w:bCs/>
          <w:color w:val="548DD4" w:themeColor="text2" w:themeTint="99"/>
          <w:sz w:val="28"/>
          <w:szCs w:val="28"/>
        </w:rPr>
        <w:t>palīdzības</w:t>
      </w:r>
      <w:r w:rsidRPr="009530DD">
        <w:rPr>
          <w:b/>
          <w:bCs/>
          <w:color w:val="548DD4" w:themeColor="text2" w:themeTint="99"/>
          <w:sz w:val="28"/>
          <w:szCs w:val="28"/>
        </w:rPr>
        <w:t xml:space="preserve"> līdzfinansētajos projektos</w:t>
      </w:r>
    </w:p>
    <w:p w14:paraId="78909F66" w14:textId="0A43DB6E" w:rsidR="00EA7C63" w:rsidRDefault="001C3EA7" w:rsidP="00EA7C63">
      <w:pPr>
        <w:ind w:firstLine="567"/>
        <w:jc w:val="both"/>
        <w:rPr>
          <w:sz w:val="28"/>
          <w:szCs w:val="28"/>
        </w:rPr>
      </w:pPr>
      <w:r>
        <w:rPr>
          <w:sz w:val="28"/>
          <w:szCs w:val="28"/>
        </w:rPr>
        <w:t xml:space="preserve">Kā iepriekš skaidrots, </w:t>
      </w:r>
      <w:r w:rsidR="003154CC">
        <w:rPr>
          <w:sz w:val="28"/>
          <w:szCs w:val="28"/>
        </w:rPr>
        <w:t>atbilstoša b</w:t>
      </w:r>
      <w:r w:rsidR="009530DD">
        <w:rPr>
          <w:sz w:val="28"/>
          <w:szCs w:val="28"/>
        </w:rPr>
        <w:t xml:space="preserve">ūtisku grozījumu veikšana publiskajos būvdarbu līgumos, pamatojoties uz </w:t>
      </w:r>
      <w:r w:rsidR="009530DD" w:rsidRPr="009530DD">
        <w:rPr>
          <w:sz w:val="28"/>
          <w:szCs w:val="28"/>
        </w:rPr>
        <w:t>Publisko iepirkumu likuma 61.panta treš</w:t>
      </w:r>
      <w:r w:rsidR="009530DD">
        <w:rPr>
          <w:sz w:val="28"/>
          <w:szCs w:val="28"/>
        </w:rPr>
        <w:t>ās</w:t>
      </w:r>
      <w:r w:rsidR="009530DD" w:rsidRPr="009530DD">
        <w:rPr>
          <w:sz w:val="28"/>
          <w:szCs w:val="28"/>
        </w:rPr>
        <w:t xml:space="preserve"> daļ</w:t>
      </w:r>
      <w:r w:rsidR="009530DD">
        <w:rPr>
          <w:sz w:val="28"/>
          <w:szCs w:val="28"/>
        </w:rPr>
        <w:t>as</w:t>
      </w:r>
      <w:r w:rsidR="00B23F4E">
        <w:rPr>
          <w:sz w:val="28"/>
          <w:szCs w:val="28"/>
        </w:rPr>
        <w:t xml:space="preserve"> 3.punkta</w:t>
      </w:r>
      <w:r w:rsidR="009530DD" w:rsidRPr="009530DD">
        <w:rPr>
          <w:sz w:val="28"/>
          <w:szCs w:val="28"/>
        </w:rPr>
        <w:t>, Sabiedrisko pakalpojumu sniedzēju iepirkuma likuma 66.panta treš</w:t>
      </w:r>
      <w:r w:rsidR="009530DD">
        <w:rPr>
          <w:sz w:val="28"/>
          <w:szCs w:val="28"/>
        </w:rPr>
        <w:t>ās</w:t>
      </w:r>
      <w:r w:rsidR="009530DD" w:rsidRPr="009530DD">
        <w:rPr>
          <w:sz w:val="28"/>
          <w:szCs w:val="28"/>
        </w:rPr>
        <w:t xml:space="preserve"> daļ</w:t>
      </w:r>
      <w:r w:rsidR="009530DD">
        <w:rPr>
          <w:sz w:val="28"/>
          <w:szCs w:val="28"/>
        </w:rPr>
        <w:t>as</w:t>
      </w:r>
      <w:r w:rsidR="00943019">
        <w:rPr>
          <w:sz w:val="28"/>
          <w:szCs w:val="28"/>
        </w:rPr>
        <w:t xml:space="preserve"> 3.punkt</w:t>
      </w:r>
      <w:r w:rsidR="00673975">
        <w:rPr>
          <w:sz w:val="28"/>
          <w:szCs w:val="28"/>
        </w:rPr>
        <w:t>a</w:t>
      </w:r>
      <w:r w:rsidR="009530DD" w:rsidRPr="009530DD">
        <w:rPr>
          <w:sz w:val="28"/>
          <w:szCs w:val="28"/>
        </w:rPr>
        <w:t xml:space="preserve"> un Publiskās un privātās partnerības likuma 63.panta trešās daļas 3.punkt</w:t>
      </w:r>
      <w:r w:rsidR="009530DD">
        <w:rPr>
          <w:sz w:val="28"/>
          <w:szCs w:val="28"/>
        </w:rPr>
        <w:t xml:space="preserve">a regulējumu, </w:t>
      </w:r>
      <w:r w:rsidR="00474276">
        <w:rPr>
          <w:sz w:val="28"/>
          <w:szCs w:val="28"/>
        </w:rPr>
        <w:t>ir pieļaujama</w:t>
      </w:r>
      <w:r w:rsidR="003E076C">
        <w:rPr>
          <w:sz w:val="28"/>
          <w:szCs w:val="28"/>
        </w:rPr>
        <w:t>, t.i. at</w:t>
      </w:r>
      <w:r w:rsidR="00EA7C63">
        <w:rPr>
          <w:sz w:val="28"/>
          <w:szCs w:val="28"/>
        </w:rPr>
        <w:t>bilstoši pamatots izmaksu pieaugums varētu būt attiecināmie izdevumi Eiropas Savienības vai citu ārvalstu finanšu palīdzības līdzfinansētu projektu ietvaros</w:t>
      </w:r>
      <w:r w:rsidR="003154CC">
        <w:rPr>
          <w:sz w:val="28"/>
          <w:szCs w:val="28"/>
        </w:rPr>
        <w:t xml:space="preserve">. </w:t>
      </w:r>
      <w:r w:rsidR="00EA7C63">
        <w:rPr>
          <w:sz w:val="28"/>
          <w:szCs w:val="28"/>
        </w:rPr>
        <w:t>Piemēram, ir noteikts princips, ka līgumcenas pieaugums (sadārdzinājums)</w:t>
      </w:r>
      <w:r w:rsidR="00417AAA">
        <w:rPr>
          <w:sz w:val="28"/>
          <w:szCs w:val="28"/>
        </w:rPr>
        <w:t xml:space="preserve"> </w:t>
      </w:r>
      <w:r w:rsidR="00EA7C63">
        <w:rPr>
          <w:sz w:val="28"/>
          <w:szCs w:val="28"/>
        </w:rPr>
        <w:t>ir uzskatāms par projekta neattiecināmām izmaksām, kas nevar tikt segts no Eiropas Savienības fondu līdzekļiem, vienlaikus ir paredzēta iespēja pamatotos gadījumos lemt atšķirīgi, t.sk. jo īpaši ar valdības lēmumu</w:t>
      </w:r>
      <w:r w:rsidR="00EA7C63">
        <w:rPr>
          <w:rStyle w:val="FootnoteReference"/>
          <w:sz w:val="28"/>
          <w:szCs w:val="28"/>
        </w:rPr>
        <w:footnoteReference w:id="6"/>
      </w:r>
      <w:r w:rsidR="00EA7C63">
        <w:rPr>
          <w:sz w:val="28"/>
          <w:szCs w:val="28"/>
        </w:rPr>
        <w:t xml:space="preserve">. </w:t>
      </w:r>
    </w:p>
    <w:p w14:paraId="26E6A9DC" w14:textId="1BE76EBC" w:rsidR="005708F1" w:rsidRDefault="00BF7C57" w:rsidP="005708F1">
      <w:pPr>
        <w:ind w:firstLine="567"/>
        <w:jc w:val="both"/>
        <w:rPr>
          <w:sz w:val="28"/>
          <w:szCs w:val="28"/>
        </w:rPr>
      </w:pPr>
      <w:r>
        <w:rPr>
          <w:sz w:val="28"/>
          <w:szCs w:val="28"/>
        </w:rPr>
        <w:t xml:space="preserve">Eiropas Savienības vai citu ārvalstu finanšu palīdzības darbību regulējošajos normatīvajos aktos ir specifiski ieviešanas nosacījumi, t.sk. </w:t>
      </w:r>
      <w:r w:rsidR="005708F1">
        <w:rPr>
          <w:sz w:val="28"/>
          <w:szCs w:val="28"/>
        </w:rPr>
        <w:t>ir noteikti stingri projektu īstenošanas termiņi</w:t>
      </w:r>
      <w:r w:rsidR="004E2721">
        <w:rPr>
          <w:sz w:val="28"/>
          <w:szCs w:val="28"/>
        </w:rPr>
        <w:t xml:space="preserve"> un ir ierobežots līdzfinansējuma apjoms</w:t>
      </w:r>
      <w:r w:rsidR="005708F1">
        <w:rPr>
          <w:sz w:val="28"/>
          <w:szCs w:val="28"/>
        </w:rPr>
        <w:t>. Iepriekš minēti iepirkumu veikšanas un realizēšanas ārkārtas sarežģījumi var apdraudēt veiksmīgu projektu īstenošanu, ņemot vērā, ka jaunā iepirkuma veikšana ir laikietilpīgs process. Nepabeidzot projektu noteiktā termiņā, nesasniedzot tā mērķi un rezultātus, tas var rezultēties ar visa vai daļas no paredzētā līdzfinansējuma zaudēšanas projekta īstenotājam.</w:t>
      </w:r>
    </w:p>
    <w:p w14:paraId="467B6D82" w14:textId="7B3EF51A" w:rsidR="001B0AD3" w:rsidRPr="00632A24" w:rsidRDefault="000F0BA0" w:rsidP="00632A24">
      <w:pPr>
        <w:ind w:firstLine="567"/>
        <w:jc w:val="both"/>
        <w:rPr>
          <w:sz w:val="28"/>
          <w:szCs w:val="28"/>
        </w:rPr>
      </w:pPr>
      <w:r>
        <w:rPr>
          <w:sz w:val="28"/>
          <w:szCs w:val="28"/>
        </w:rPr>
        <w:t xml:space="preserve">Tāpat </w:t>
      </w:r>
      <w:r w:rsidR="005708F1">
        <w:rPr>
          <w:sz w:val="28"/>
          <w:szCs w:val="28"/>
        </w:rPr>
        <w:t>jautājum</w:t>
      </w:r>
      <w:r>
        <w:rPr>
          <w:sz w:val="28"/>
          <w:szCs w:val="28"/>
        </w:rPr>
        <w:t>ā</w:t>
      </w:r>
      <w:r w:rsidR="005708F1">
        <w:rPr>
          <w:sz w:val="28"/>
          <w:szCs w:val="28"/>
        </w:rPr>
        <w:t xml:space="preserve"> par projektu pabeigšanu noteiktā termiņā, lai projekta īstenotājs </w:t>
      </w:r>
      <w:r>
        <w:rPr>
          <w:sz w:val="28"/>
          <w:szCs w:val="28"/>
        </w:rPr>
        <w:t xml:space="preserve">un Latvija kopumā </w:t>
      </w:r>
      <w:r w:rsidR="005708F1">
        <w:rPr>
          <w:sz w:val="28"/>
          <w:szCs w:val="28"/>
        </w:rPr>
        <w:t>nezaudētu vis</w:t>
      </w:r>
      <w:r>
        <w:rPr>
          <w:sz w:val="28"/>
          <w:szCs w:val="28"/>
        </w:rPr>
        <w:t>u</w:t>
      </w:r>
      <w:r w:rsidR="005708F1">
        <w:rPr>
          <w:sz w:val="28"/>
          <w:szCs w:val="28"/>
        </w:rPr>
        <w:t xml:space="preserve"> vai</w:t>
      </w:r>
      <w:r>
        <w:rPr>
          <w:sz w:val="28"/>
          <w:szCs w:val="28"/>
        </w:rPr>
        <w:t xml:space="preserve"> daļu līdzfinan</w:t>
      </w:r>
      <w:r w:rsidR="00632A24">
        <w:rPr>
          <w:sz w:val="28"/>
          <w:szCs w:val="28"/>
        </w:rPr>
        <w:t>s</w:t>
      </w:r>
      <w:r>
        <w:rPr>
          <w:sz w:val="28"/>
          <w:szCs w:val="28"/>
        </w:rPr>
        <w:t xml:space="preserve">ējuma, katram finanšu avotam var būt specifiski nosacījumi attiecībā uz elastību pabeigt projektus pēc noteiktā termiņa. </w:t>
      </w:r>
      <w:r w:rsidRPr="00632A24">
        <w:rPr>
          <w:sz w:val="28"/>
          <w:szCs w:val="28"/>
        </w:rPr>
        <w:t xml:space="preserve">Tā piemēram, </w:t>
      </w:r>
      <w:r w:rsidR="00AB0D44" w:rsidRPr="00632A24">
        <w:rPr>
          <w:sz w:val="28"/>
          <w:szCs w:val="28"/>
        </w:rPr>
        <w:t>attiecībā uz 2014.-2020. gada plānošanas perioda Eiropas Savienības fondu projektiem</w:t>
      </w:r>
      <w:r w:rsidR="00ED6C43" w:rsidRPr="00632A24">
        <w:rPr>
          <w:sz w:val="28"/>
          <w:szCs w:val="28"/>
        </w:rPr>
        <w:t xml:space="preserve"> Regulas 1303/2013 </w:t>
      </w:r>
      <w:r w:rsidR="00ED6C43" w:rsidRPr="00632A24">
        <w:rPr>
          <w:sz w:val="28"/>
          <w:szCs w:val="28"/>
        </w:rPr>
        <w:lastRenderedPageBreak/>
        <w:t>65.panta 2. un 4.punkti</w:t>
      </w:r>
      <w:r w:rsidR="00ED6C43" w:rsidRPr="00632A24">
        <w:rPr>
          <w:rStyle w:val="FootnoteReference"/>
          <w:sz w:val="28"/>
          <w:szCs w:val="28"/>
        </w:rPr>
        <w:footnoteReference w:id="7"/>
      </w:r>
      <w:r w:rsidR="00ED6C43" w:rsidRPr="00632A24">
        <w:rPr>
          <w:sz w:val="28"/>
          <w:szCs w:val="28"/>
        </w:rPr>
        <w:t xml:space="preserve"> nosaka izmaksu </w:t>
      </w:r>
      <w:proofErr w:type="spellStart"/>
      <w:r w:rsidR="00ED6C43" w:rsidRPr="00632A24">
        <w:rPr>
          <w:sz w:val="28"/>
          <w:szCs w:val="28"/>
        </w:rPr>
        <w:t>attiecināmības</w:t>
      </w:r>
      <w:proofErr w:type="spellEnd"/>
      <w:r w:rsidR="00ED6C43" w:rsidRPr="00632A24">
        <w:rPr>
          <w:sz w:val="28"/>
          <w:szCs w:val="28"/>
        </w:rPr>
        <w:t xml:space="preserve"> termiņu - 2023.gada 31.decembris. Savukārt, </w:t>
      </w:r>
      <w:r w:rsidR="002E261D" w:rsidRPr="00632A24">
        <w:rPr>
          <w:sz w:val="28"/>
          <w:szCs w:val="28"/>
        </w:rPr>
        <w:t>Eiropas Komisijas vadlīnijās par slēgšanu</w:t>
      </w:r>
      <w:r w:rsidR="002E261D" w:rsidRPr="00632A24">
        <w:rPr>
          <w:rStyle w:val="FootnoteReference"/>
          <w:sz w:val="28"/>
          <w:szCs w:val="28"/>
        </w:rPr>
        <w:footnoteReference w:id="8"/>
      </w:r>
      <w:r w:rsidR="00AB0D44" w:rsidRPr="00632A24">
        <w:rPr>
          <w:sz w:val="28"/>
          <w:szCs w:val="28"/>
        </w:rPr>
        <w:t xml:space="preserve"> jau ir paredzētas vairākas opcijas:</w:t>
      </w:r>
      <w:r w:rsidR="001B0AD3" w:rsidRPr="00632A24">
        <w:rPr>
          <w:sz w:val="28"/>
          <w:szCs w:val="28"/>
        </w:rPr>
        <w:t xml:space="preserve"> </w:t>
      </w:r>
    </w:p>
    <w:p w14:paraId="6387DA48" w14:textId="0980A68E" w:rsidR="001B0AD3" w:rsidRPr="00632A24" w:rsidRDefault="001B0AD3" w:rsidP="001B0AD3">
      <w:pPr>
        <w:pStyle w:val="Default"/>
        <w:numPr>
          <w:ilvl w:val="0"/>
          <w:numId w:val="21"/>
        </w:numPr>
        <w:shd w:val="clear" w:color="auto" w:fill="FFFFFF" w:themeFill="background1"/>
        <w:jc w:val="both"/>
        <w:rPr>
          <w:sz w:val="28"/>
          <w:szCs w:val="28"/>
        </w:rPr>
      </w:pPr>
      <w:r w:rsidRPr="00632A24">
        <w:rPr>
          <w:sz w:val="28"/>
          <w:szCs w:val="28"/>
        </w:rPr>
        <w:t>EK vadlīniju 6. sadaļa NOTEIKTU DARBĪBU PAKĀPENISKA ĪSTENOŠANA DIVOS PLĀNOŠANAS PERIODOS (</w:t>
      </w:r>
      <w:proofErr w:type="spellStart"/>
      <w:r w:rsidRPr="00632A24">
        <w:rPr>
          <w:sz w:val="28"/>
          <w:szCs w:val="28"/>
        </w:rPr>
        <w:t>posmošana</w:t>
      </w:r>
      <w:proofErr w:type="spellEnd"/>
      <w:r w:rsidRPr="00632A24">
        <w:rPr>
          <w:sz w:val="28"/>
          <w:szCs w:val="28"/>
        </w:rPr>
        <w:t>/</w:t>
      </w:r>
      <w:proofErr w:type="spellStart"/>
      <w:r w:rsidRPr="00632A24">
        <w:rPr>
          <w:sz w:val="28"/>
          <w:szCs w:val="28"/>
        </w:rPr>
        <w:t>fāzēšana</w:t>
      </w:r>
      <w:proofErr w:type="spellEnd"/>
      <w:r w:rsidRPr="00632A24">
        <w:rPr>
          <w:sz w:val="28"/>
          <w:szCs w:val="28"/>
        </w:rPr>
        <w:t xml:space="preserve"> </w:t>
      </w:r>
      <w:r w:rsidR="009E463B" w:rsidRPr="00632A24">
        <w:rPr>
          <w:sz w:val="28"/>
          <w:szCs w:val="28"/>
        </w:rPr>
        <w:t xml:space="preserve">starp plānošanas periodiem </w:t>
      </w:r>
      <w:r w:rsidRPr="00632A24">
        <w:rPr>
          <w:sz w:val="28"/>
          <w:szCs w:val="28"/>
        </w:rPr>
        <w:t>2014-2020 un 2021-2027) – iespēja gadījumos, kad projekta abu posmu kopējās izmaksas pārsniedz 5 miljonus EUR</w:t>
      </w:r>
      <w:r w:rsidR="009E463B" w:rsidRPr="00632A24">
        <w:rPr>
          <w:sz w:val="28"/>
          <w:szCs w:val="28"/>
        </w:rPr>
        <w:t xml:space="preserve"> un kad programmā ir paredzēts finansējums tāda veida atbalstāmām darbībām 2021-2027.gadu plānošanas periodā </w:t>
      </w:r>
      <w:r w:rsidRPr="00632A24">
        <w:rPr>
          <w:sz w:val="28"/>
          <w:szCs w:val="28"/>
        </w:rPr>
        <w:t>;</w:t>
      </w:r>
    </w:p>
    <w:p w14:paraId="538BF7B7" w14:textId="5A776A26" w:rsidR="009E463B" w:rsidRPr="00632A24" w:rsidRDefault="009E463B" w:rsidP="00B43538">
      <w:pPr>
        <w:numPr>
          <w:ilvl w:val="0"/>
          <w:numId w:val="21"/>
        </w:numPr>
        <w:shd w:val="clear" w:color="auto" w:fill="FFFFFF" w:themeFill="background1"/>
        <w:spacing w:after="120"/>
        <w:jc w:val="both"/>
        <w:rPr>
          <w:sz w:val="28"/>
          <w:szCs w:val="28"/>
        </w:rPr>
      </w:pPr>
      <w:r w:rsidRPr="00632A24">
        <w:rPr>
          <w:sz w:val="28"/>
          <w:szCs w:val="28"/>
        </w:rPr>
        <w:t>EK vadlīniju 7. sadaļa  “NEFUNKCIONĒJOŠAS DARBĪBAS” – iespēja pabeigt projektu, īstenotājam 100% finansējot izmaksas, kas rodas pēc 31.12.2023. , ar nosacījumu, ka projektu pabeidz līdz 2026. gadam un kad projekta kopējās izmaksas pārsniedz 2 miljonus EUR. Tāpat ir noteikts, ka nefunkcionējošo darbību kopējie izdevumi, kas apliecināti Komisijai, nepārsniedz 10 % no kopējiem attiecināmajiem izdevumiem (ES un nacionālā līmenī), par ko izlemts programmas ietvaros.</w:t>
      </w:r>
    </w:p>
    <w:p w14:paraId="224CE50E" w14:textId="6CE3107F" w:rsidR="00E8112E" w:rsidRDefault="00E8112E" w:rsidP="00E8112E">
      <w:pPr>
        <w:ind w:firstLine="567"/>
        <w:jc w:val="both"/>
        <w:rPr>
          <w:bCs/>
          <w:sz w:val="28"/>
          <w:szCs w:val="28"/>
        </w:rPr>
      </w:pPr>
      <w:r w:rsidRPr="00A9099A">
        <w:rPr>
          <w:sz w:val="28"/>
          <w:szCs w:val="28"/>
        </w:rPr>
        <w:t>Tā kā katrs projekts ir specifisks, situācijas var būt daudz un dažādas, ir nepieciešama arī niansēta individuāla pieeja t.sk. atkarībā no finansējuma avota nosacījumiem. Projekta īstenotājs aicināts nekavējoši, savlaicīgi vērsties tieši pie atbalsta sniedzēja/līgumslēdzēja gan būtiska izmaksu pieauguma, gan projekta pabeigšanas termiņa vai citu būtisku projekta mērķu un rezultātu nesasniegšanas risku gadījumos, sniedzot pēc iespējas konkrētu, objektīvi pamatotu situācijas izklāstu un priekšlikumu nepieciešamajām izmaiņām projekta īstenošanas nosacījumos</w:t>
      </w:r>
      <w:r w:rsidR="003A38DC" w:rsidRPr="00A9099A">
        <w:rPr>
          <w:rStyle w:val="FootnoteReference"/>
          <w:sz w:val="28"/>
          <w:szCs w:val="28"/>
        </w:rPr>
        <w:footnoteReference w:id="9"/>
      </w:r>
      <w:r w:rsidRPr="00A9099A">
        <w:rPr>
          <w:sz w:val="28"/>
          <w:szCs w:val="28"/>
        </w:rPr>
        <w:t>. Secīgi atbalsta sniedzējam/līgumslēdzējam, nepieciešamības gadījumā sadarbībā ar citām kompetentām iestādēm, jāizskata iespējamie risinājumi, t.sk. pamatotos gadījumos ar atsevišķu valdības lēmumu</w:t>
      </w:r>
      <w:r w:rsidR="00ED14D6" w:rsidRPr="00A9099A">
        <w:rPr>
          <w:sz w:val="28"/>
          <w:szCs w:val="28"/>
        </w:rPr>
        <w:t xml:space="preserve"> un / vai </w:t>
      </w:r>
      <w:r w:rsidRPr="00A9099A">
        <w:rPr>
          <w:sz w:val="28"/>
          <w:szCs w:val="28"/>
        </w:rPr>
        <w:t xml:space="preserve"> </w:t>
      </w:r>
      <w:r w:rsidR="007D5F8F" w:rsidRPr="00A9099A">
        <w:rPr>
          <w:bCs/>
          <w:sz w:val="28"/>
          <w:szCs w:val="28"/>
        </w:rPr>
        <w:t>rosinot Eiropas Komisijai</w:t>
      </w:r>
      <w:r w:rsidR="00ED14D6" w:rsidRPr="00A9099A">
        <w:rPr>
          <w:bCs/>
          <w:sz w:val="28"/>
          <w:szCs w:val="28"/>
        </w:rPr>
        <w:t xml:space="preserve"> vai </w:t>
      </w:r>
      <w:r w:rsidR="007D5F8F" w:rsidRPr="00A9099A">
        <w:rPr>
          <w:bCs/>
          <w:sz w:val="28"/>
          <w:szCs w:val="28"/>
        </w:rPr>
        <w:t xml:space="preserve"> </w:t>
      </w:r>
      <w:r w:rsidR="00ED14D6" w:rsidRPr="00A9099A">
        <w:rPr>
          <w:bCs/>
          <w:sz w:val="28"/>
          <w:szCs w:val="28"/>
        </w:rPr>
        <w:t xml:space="preserve">citiem donoriem </w:t>
      </w:r>
      <w:r w:rsidR="007D5F8F" w:rsidRPr="00A9099A">
        <w:rPr>
          <w:bCs/>
          <w:sz w:val="28"/>
          <w:szCs w:val="28"/>
        </w:rPr>
        <w:t>elastīgus izņēmuma nosacījumus ārkārtas situācijā.</w:t>
      </w:r>
    </w:p>
    <w:p w14:paraId="5DFCD39E" w14:textId="4AA4ED39" w:rsidR="00396643" w:rsidRPr="00F926D1" w:rsidRDefault="00396643" w:rsidP="00E8112E">
      <w:pPr>
        <w:ind w:firstLine="567"/>
        <w:jc w:val="both"/>
        <w:rPr>
          <w:sz w:val="28"/>
          <w:szCs w:val="28"/>
        </w:rPr>
      </w:pPr>
      <w:r w:rsidRPr="00396643">
        <w:rPr>
          <w:sz w:val="28"/>
          <w:szCs w:val="28"/>
        </w:rPr>
        <w:t>2022. gada 25. martā finanšu ministrs jau ir nosūtījis vēstuli ES kohēzijas un reformu komisārei, stingri rosinot rast E</w:t>
      </w:r>
      <w:r w:rsidR="00B56D13">
        <w:rPr>
          <w:sz w:val="28"/>
          <w:szCs w:val="28"/>
        </w:rPr>
        <w:t xml:space="preserve">iropas </w:t>
      </w:r>
      <w:r w:rsidRPr="00396643">
        <w:rPr>
          <w:sz w:val="28"/>
          <w:szCs w:val="28"/>
        </w:rPr>
        <w:t>K</w:t>
      </w:r>
      <w:r w:rsidR="00B56D13">
        <w:rPr>
          <w:sz w:val="28"/>
          <w:szCs w:val="28"/>
        </w:rPr>
        <w:t>omisijas</w:t>
      </w:r>
      <w:r w:rsidRPr="00396643">
        <w:rPr>
          <w:sz w:val="28"/>
          <w:szCs w:val="28"/>
        </w:rPr>
        <w:t xml:space="preserve"> līmeņa risinājumus </w:t>
      </w:r>
      <w:r w:rsidR="00785C64">
        <w:rPr>
          <w:sz w:val="28"/>
          <w:szCs w:val="28"/>
        </w:rPr>
        <w:t xml:space="preserve">Krievijas karadarbības </w:t>
      </w:r>
      <w:r w:rsidR="00B56D13">
        <w:rPr>
          <w:sz w:val="28"/>
          <w:szCs w:val="28"/>
        </w:rPr>
        <w:t>Ukrain</w:t>
      </w:r>
      <w:r w:rsidR="00785C64">
        <w:rPr>
          <w:sz w:val="28"/>
          <w:szCs w:val="28"/>
        </w:rPr>
        <w:t>ā</w:t>
      </w:r>
      <w:r w:rsidR="00B56D13">
        <w:rPr>
          <w:sz w:val="28"/>
          <w:szCs w:val="28"/>
        </w:rPr>
        <w:t xml:space="preserve"> rādītā apdraudējuma ES līdzfinansēto projektu sekmīgai īstenošanai risku mazināšanai. Primāri būtu nepieciešams vienoties </w:t>
      </w:r>
      <w:r w:rsidRPr="00396643">
        <w:rPr>
          <w:sz w:val="28"/>
          <w:szCs w:val="28"/>
        </w:rPr>
        <w:t xml:space="preserve">pagarināt ES fondu projektu izdevumu </w:t>
      </w:r>
      <w:proofErr w:type="spellStart"/>
      <w:r w:rsidRPr="00396643">
        <w:rPr>
          <w:sz w:val="28"/>
          <w:szCs w:val="28"/>
        </w:rPr>
        <w:t>attiecināmības</w:t>
      </w:r>
      <w:proofErr w:type="spellEnd"/>
      <w:r w:rsidRPr="00396643">
        <w:rPr>
          <w:sz w:val="28"/>
          <w:szCs w:val="28"/>
        </w:rPr>
        <w:t xml:space="preserve"> termiņu līdz 2024. gada </w:t>
      </w:r>
      <w:r w:rsidRPr="00396643">
        <w:rPr>
          <w:sz w:val="28"/>
          <w:szCs w:val="28"/>
        </w:rPr>
        <w:lastRenderedPageBreak/>
        <w:t>beigām un pārskatīt ES fondu plānošanas perioda slēgšanas vadlīnijas. Tas nepieciešams, lai nodrošinātu lielāku elastīgumu un iegūtu vairāk laika to investīciju projektu sekmīgai pabeigšanai, kuros nākas saskarties ar neprognozēto un ievērojamo negatīvo ietekmi. F</w:t>
      </w:r>
      <w:r w:rsidR="00292409">
        <w:rPr>
          <w:sz w:val="28"/>
          <w:szCs w:val="28"/>
        </w:rPr>
        <w:t xml:space="preserve">inanšu ministrija </w:t>
      </w:r>
      <w:r w:rsidRPr="00396643">
        <w:rPr>
          <w:sz w:val="28"/>
          <w:szCs w:val="28"/>
        </w:rPr>
        <w:t>turpinās regulāri  informēt valdību gan ikmēneša ziņojumos, gan pusgada ziņojumos par situācijas attīstību un risinājumiem</w:t>
      </w:r>
      <w:r w:rsidR="00292409">
        <w:rPr>
          <w:sz w:val="28"/>
          <w:szCs w:val="28"/>
        </w:rPr>
        <w:t>.</w:t>
      </w:r>
    </w:p>
    <w:p w14:paraId="4B01B2A4" w14:textId="08EEC46B" w:rsidR="001B0AD3" w:rsidRDefault="001B0AD3" w:rsidP="003E6997">
      <w:pPr>
        <w:pStyle w:val="Default"/>
        <w:shd w:val="clear" w:color="auto" w:fill="FFFFFF" w:themeFill="background1"/>
        <w:ind w:left="720"/>
        <w:jc w:val="both"/>
        <w:rPr>
          <w:sz w:val="28"/>
          <w:szCs w:val="28"/>
        </w:rPr>
      </w:pPr>
    </w:p>
    <w:p w14:paraId="4AF1FFEE" w14:textId="3C54EDF5" w:rsidR="00F926D1" w:rsidRDefault="0091636E" w:rsidP="00F56A72">
      <w:pPr>
        <w:pStyle w:val="Default"/>
        <w:shd w:val="clear" w:color="auto" w:fill="FFFFFF" w:themeFill="background1"/>
        <w:jc w:val="both"/>
        <w:rPr>
          <w:color w:val="548DD4" w:themeColor="text2" w:themeTint="99"/>
          <w:sz w:val="28"/>
          <w:szCs w:val="28"/>
        </w:rPr>
      </w:pPr>
      <w:r>
        <w:rPr>
          <w:color w:val="548DD4" w:themeColor="text2" w:themeTint="99"/>
          <w:sz w:val="28"/>
          <w:szCs w:val="28"/>
        </w:rPr>
        <w:t xml:space="preserve">Iesākto investīciju projektu pabeigšanai nepieciešamais finansējums. </w:t>
      </w:r>
    </w:p>
    <w:p w14:paraId="0CDA8D15" w14:textId="631B794B" w:rsidR="00F926D1" w:rsidRDefault="00292409" w:rsidP="00F926D1">
      <w:pPr>
        <w:pStyle w:val="Default"/>
        <w:shd w:val="clear" w:color="auto" w:fill="FFFFFF" w:themeFill="background1"/>
        <w:ind w:firstLine="567"/>
        <w:jc w:val="both"/>
        <w:rPr>
          <w:color w:val="auto"/>
          <w:sz w:val="28"/>
          <w:szCs w:val="28"/>
        </w:rPr>
      </w:pPr>
      <w:r>
        <w:rPr>
          <w:color w:val="auto"/>
          <w:sz w:val="28"/>
          <w:szCs w:val="28"/>
        </w:rPr>
        <w:t xml:space="preserve">Jāņem vērā, ka ne visiem pasūtītājiem ir iespēja </w:t>
      </w:r>
      <w:r w:rsidR="002A7ED6">
        <w:rPr>
          <w:color w:val="auto"/>
          <w:sz w:val="28"/>
          <w:szCs w:val="28"/>
        </w:rPr>
        <w:t xml:space="preserve">nodrošināt papildu finansējumu sadārdzinājuma kompensēšanai publiskās infrastruktūras projektu sekmīgai pabeigšanai. </w:t>
      </w:r>
    </w:p>
    <w:p w14:paraId="300913BB" w14:textId="6DB8AD08" w:rsidR="002A7ED6" w:rsidRDefault="002A7ED6" w:rsidP="00F926D1">
      <w:pPr>
        <w:pStyle w:val="Default"/>
        <w:shd w:val="clear" w:color="auto" w:fill="FFFFFF" w:themeFill="background1"/>
        <w:ind w:firstLine="567"/>
        <w:jc w:val="both"/>
        <w:rPr>
          <w:color w:val="auto"/>
          <w:sz w:val="28"/>
          <w:szCs w:val="28"/>
        </w:rPr>
      </w:pPr>
      <w:r>
        <w:rPr>
          <w:color w:val="auto"/>
          <w:sz w:val="28"/>
          <w:szCs w:val="28"/>
        </w:rPr>
        <w:t xml:space="preserve">Vairākas pašvaldības ir norādījušās uz nepieciešamo atbalstu no valsts puses, tai skaitā </w:t>
      </w:r>
      <w:r w:rsidR="001D7F25">
        <w:rPr>
          <w:color w:val="auto"/>
          <w:sz w:val="28"/>
          <w:szCs w:val="28"/>
        </w:rPr>
        <w:t>lūdza</w:t>
      </w:r>
      <w:r>
        <w:rPr>
          <w:color w:val="auto"/>
          <w:sz w:val="28"/>
          <w:szCs w:val="28"/>
        </w:rPr>
        <w:t xml:space="preserve"> paredzēt tiesības aizņemties Valsts kasē </w:t>
      </w:r>
      <w:r w:rsidR="001D7F25">
        <w:rPr>
          <w:color w:val="auto"/>
          <w:sz w:val="28"/>
          <w:szCs w:val="28"/>
        </w:rPr>
        <w:t xml:space="preserve">investīciju projektu pabeigšanai </w:t>
      </w:r>
      <w:r w:rsidR="00896ED0">
        <w:rPr>
          <w:color w:val="auto"/>
          <w:sz w:val="28"/>
          <w:szCs w:val="28"/>
        </w:rPr>
        <w:t xml:space="preserve">nepieciešamos finanšu līdzekļus. </w:t>
      </w:r>
    </w:p>
    <w:p w14:paraId="795A346A" w14:textId="4AA2414E" w:rsidR="00F875CB" w:rsidRDefault="00896ED0" w:rsidP="00735A58">
      <w:pPr>
        <w:pStyle w:val="Default"/>
        <w:shd w:val="clear" w:color="auto" w:fill="FFFFFF" w:themeFill="background1"/>
        <w:ind w:firstLine="567"/>
        <w:jc w:val="both"/>
        <w:rPr>
          <w:color w:val="auto"/>
          <w:sz w:val="28"/>
          <w:szCs w:val="28"/>
        </w:rPr>
      </w:pPr>
      <w:r>
        <w:rPr>
          <w:color w:val="auto"/>
          <w:sz w:val="28"/>
          <w:szCs w:val="28"/>
        </w:rPr>
        <w:t xml:space="preserve">Būtu jānorāda, ka jau šobrīd normatīvais regulējums paredz vietējai pašvaldībai iespēju saņemt Valsts kasē aizdevumu. </w:t>
      </w:r>
      <w:r w:rsidR="00F875CB">
        <w:rPr>
          <w:color w:val="auto"/>
          <w:sz w:val="28"/>
          <w:szCs w:val="28"/>
        </w:rPr>
        <w:t>L</w:t>
      </w:r>
      <w:r>
        <w:rPr>
          <w:color w:val="auto"/>
          <w:sz w:val="28"/>
          <w:szCs w:val="28"/>
        </w:rPr>
        <w:t xml:space="preserve">ikuma </w:t>
      </w:r>
      <w:bookmarkStart w:id="1" w:name="_Hlk99702518"/>
      <w:r>
        <w:rPr>
          <w:color w:val="auto"/>
          <w:sz w:val="28"/>
          <w:szCs w:val="28"/>
        </w:rPr>
        <w:t>“</w:t>
      </w:r>
      <w:r w:rsidRPr="00896ED0">
        <w:rPr>
          <w:color w:val="auto"/>
          <w:sz w:val="28"/>
          <w:szCs w:val="28"/>
        </w:rPr>
        <w:t>Par valsts budžetu 2022. gadam</w:t>
      </w:r>
      <w:r>
        <w:rPr>
          <w:color w:val="auto"/>
          <w:sz w:val="28"/>
          <w:szCs w:val="28"/>
        </w:rPr>
        <w:t>”</w:t>
      </w:r>
      <w:bookmarkEnd w:id="1"/>
      <w:r>
        <w:rPr>
          <w:color w:val="auto"/>
          <w:sz w:val="28"/>
          <w:szCs w:val="28"/>
        </w:rPr>
        <w:t xml:space="preserve"> 10.panta </w:t>
      </w:r>
      <w:r w:rsidR="00735A58">
        <w:rPr>
          <w:color w:val="auto"/>
          <w:sz w:val="28"/>
          <w:szCs w:val="28"/>
        </w:rPr>
        <w:t>pirmā daļa paredz p</w:t>
      </w:r>
      <w:r w:rsidR="00735A58" w:rsidRPr="00735A58">
        <w:rPr>
          <w:color w:val="auto"/>
          <w:sz w:val="28"/>
          <w:szCs w:val="28"/>
        </w:rPr>
        <w:t xml:space="preserve">ašvaldību aizņēmumu kopējo palielinājumu </w:t>
      </w:r>
      <w:r w:rsidR="00F875CB">
        <w:rPr>
          <w:color w:val="auto"/>
          <w:sz w:val="28"/>
          <w:szCs w:val="28"/>
        </w:rPr>
        <w:t xml:space="preserve">2022. gadā </w:t>
      </w:r>
      <w:r w:rsidR="00735A58" w:rsidRPr="00735A58">
        <w:rPr>
          <w:color w:val="auto"/>
          <w:sz w:val="28"/>
          <w:szCs w:val="28"/>
        </w:rPr>
        <w:t>188 138 258 euro apmērā</w:t>
      </w:r>
      <w:r w:rsidR="00F875CB">
        <w:rPr>
          <w:color w:val="auto"/>
          <w:sz w:val="28"/>
          <w:szCs w:val="28"/>
        </w:rPr>
        <w:t>.</w:t>
      </w:r>
    </w:p>
    <w:p w14:paraId="60D30F54" w14:textId="0BEE18DB" w:rsidR="00896ED0" w:rsidRDefault="00F875CB" w:rsidP="00F875CB">
      <w:pPr>
        <w:pStyle w:val="Default"/>
        <w:shd w:val="clear" w:color="auto" w:fill="FFFFFF" w:themeFill="background1"/>
        <w:ind w:firstLine="567"/>
        <w:jc w:val="both"/>
        <w:rPr>
          <w:color w:val="auto"/>
          <w:sz w:val="28"/>
          <w:szCs w:val="28"/>
        </w:rPr>
      </w:pPr>
      <w:r>
        <w:rPr>
          <w:color w:val="auto"/>
          <w:sz w:val="28"/>
          <w:szCs w:val="28"/>
        </w:rPr>
        <w:t xml:space="preserve">Daļa no šā palielinājuma (118 138 258 euro) saskaņā ar 10.panta </w:t>
      </w:r>
      <w:r w:rsidR="00735A58">
        <w:rPr>
          <w:color w:val="auto"/>
          <w:sz w:val="28"/>
          <w:szCs w:val="28"/>
        </w:rPr>
        <w:t>otrā</w:t>
      </w:r>
      <w:r>
        <w:rPr>
          <w:color w:val="auto"/>
          <w:sz w:val="28"/>
          <w:szCs w:val="28"/>
        </w:rPr>
        <w:t>s</w:t>
      </w:r>
      <w:r w:rsidR="00735A58">
        <w:rPr>
          <w:color w:val="auto"/>
          <w:sz w:val="28"/>
          <w:szCs w:val="28"/>
        </w:rPr>
        <w:t xml:space="preserve"> daļa</w:t>
      </w:r>
      <w:r>
        <w:rPr>
          <w:color w:val="auto"/>
          <w:sz w:val="28"/>
          <w:szCs w:val="28"/>
        </w:rPr>
        <w:t xml:space="preserve">s </w:t>
      </w:r>
      <w:r w:rsidR="00C53C3C">
        <w:rPr>
          <w:color w:val="auto"/>
          <w:sz w:val="28"/>
          <w:szCs w:val="28"/>
        </w:rPr>
        <w:t xml:space="preserve">pirmā punkta </w:t>
      </w:r>
      <w:r>
        <w:rPr>
          <w:color w:val="auto"/>
          <w:sz w:val="28"/>
          <w:szCs w:val="28"/>
        </w:rPr>
        <w:t xml:space="preserve">noteikumiem ir paredzēta </w:t>
      </w:r>
      <w:r w:rsidR="00735A58">
        <w:rPr>
          <w:color w:val="auto"/>
          <w:sz w:val="28"/>
          <w:szCs w:val="28"/>
        </w:rPr>
        <w:t xml:space="preserve"> </w:t>
      </w:r>
      <w:r w:rsidR="00735A58" w:rsidRPr="00735A58">
        <w:rPr>
          <w:color w:val="auto"/>
          <w:sz w:val="28"/>
          <w:szCs w:val="28"/>
        </w:rPr>
        <w:t>pašvaldību aizņēmum</w:t>
      </w:r>
      <w:r>
        <w:rPr>
          <w:color w:val="auto"/>
          <w:sz w:val="28"/>
          <w:szCs w:val="28"/>
        </w:rPr>
        <w:t xml:space="preserve">iem, </w:t>
      </w:r>
      <w:r w:rsidR="00735A58">
        <w:rPr>
          <w:color w:val="auto"/>
          <w:sz w:val="28"/>
          <w:szCs w:val="28"/>
        </w:rPr>
        <w:t xml:space="preserve">tai skaitā </w:t>
      </w:r>
      <w:r w:rsidR="00735A58" w:rsidRPr="00735A58">
        <w:rPr>
          <w:color w:val="auto"/>
          <w:sz w:val="28"/>
          <w:szCs w:val="28"/>
        </w:rPr>
        <w:t>Eiropas Savienības fondu un pārējās ārvalstu finanšu palīdzības līdzfinansēto projektu īstenošanai</w:t>
      </w:r>
      <w:r w:rsidR="00274BA2">
        <w:rPr>
          <w:color w:val="auto"/>
          <w:sz w:val="28"/>
          <w:szCs w:val="28"/>
        </w:rPr>
        <w:t xml:space="preserve"> (</w:t>
      </w:r>
      <w:r w:rsidR="00735A58" w:rsidRPr="00735A58">
        <w:rPr>
          <w:color w:val="auto"/>
          <w:sz w:val="28"/>
          <w:szCs w:val="28"/>
        </w:rPr>
        <w:t>ar aizņēmuma apmēru, kas nepārsniedz projekta attiecināmo izmaksu kopsummu</w:t>
      </w:r>
      <w:r w:rsidR="00274BA2">
        <w:rPr>
          <w:color w:val="auto"/>
          <w:sz w:val="28"/>
          <w:szCs w:val="28"/>
        </w:rPr>
        <w:t>)</w:t>
      </w:r>
      <w:r w:rsidR="00735A58">
        <w:rPr>
          <w:color w:val="auto"/>
          <w:sz w:val="28"/>
          <w:szCs w:val="28"/>
        </w:rPr>
        <w:t>.</w:t>
      </w:r>
      <w:r w:rsidR="00E81DED" w:rsidRPr="00B23A23">
        <w:t xml:space="preserve"> </w:t>
      </w:r>
      <w:r w:rsidR="00E81DED" w:rsidRPr="009F3538">
        <w:rPr>
          <w:color w:val="auto"/>
          <w:sz w:val="28"/>
          <w:szCs w:val="28"/>
        </w:rPr>
        <w:t>Pašvaldīb</w:t>
      </w:r>
      <w:r w:rsidR="00E81DED">
        <w:rPr>
          <w:color w:val="auto"/>
          <w:sz w:val="28"/>
          <w:szCs w:val="28"/>
        </w:rPr>
        <w:t xml:space="preserve">ām </w:t>
      </w:r>
      <w:r w:rsidR="00E81DED" w:rsidRPr="009F3538">
        <w:rPr>
          <w:color w:val="auto"/>
          <w:sz w:val="28"/>
          <w:szCs w:val="28"/>
        </w:rPr>
        <w:t>ES un pārējās ārvalstu finanšu palīdzības projektos var</w:t>
      </w:r>
      <w:r w:rsidR="00E81DED">
        <w:rPr>
          <w:color w:val="auto"/>
          <w:sz w:val="28"/>
          <w:szCs w:val="28"/>
        </w:rPr>
        <w:t xml:space="preserve"> tikt</w:t>
      </w:r>
      <w:r w:rsidR="00E81DED" w:rsidRPr="009F3538">
        <w:rPr>
          <w:color w:val="auto"/>
          <w:sz w:val="28"/>
          <w:szCs w:val="28"/>
        </w:rPr>
        <w:t xml:space="preserve"> palielināt</w:t>
      </w:r>
      <w:r w:rsidR="00E81DED">
        <w:rPr>
          <w:color w:val="auto"/>
          <w:sz w:val="28"/>
          <w:szCs w:val="28"/>
        </w:rPr>
        <w:t>as</w:t>
      </w:r>
      <w:r w:rsidR="00E81DED" w:rsidRPr="009F3538">
        <w:rPr>
          <w:color w:val="auto"/>
          <w:sz w:val="28"/>
          <w:szCs w:val="28"/>
        </w:rPr>
        <w:t xml:space="preserve"> projekta attiecināmās izmaksas, sadarbības iestādei/līgumslēdzējai veicot attiecīgus grozījumus</w:t>
      </w:r>
      <w:r w:rsidR="00E81DED">
        <w:rPr>
          <w:color w:val="auto"/>
          <w:sz w:val="28"/>
          <w:szCs w:val="28"/>
        </w:rPr>
        <w:t xml:space="preserve"> dokumentos par projektu īstenošanu</w:t>
      </w:r>
      <w:r w:rsidR="00E81DED" w:rsidRPr="009F3538">
        <w:rPr>
          <w:color w:val="auto"/>
          <w:sz w:val="28"/>
          <w:szCs w:val="28"/>
        </w:rPr>
        <w:t>.</w:t>
      </w:r>
      <w:r w:rsidR="00735A58">
        <w:rPr>
          <w:color w:val="auto"/>
          <w:sz w:val="28"/>
          <w:szCs w:val="28"/>
        </w:rPr>
        <w:t xml:space="preserve"> </w:t>
      </w:r>
      <w:r w:rsidR="00C53C3C">
        <w:rPr>
          <w:color w:val="auto"/>
          <w:sz w:val="28"/>
          <w:szCs w:val="28"/>
        </w:rPr>
        <w:t xml:space="preserve">Savukārt, ja pašvaldībai rodas nepieciešamība </w:t>
      </w:r>
      <w:r w:rsidR="00E81DED" w:rsidRPr="00E81DED">
        <w:rPr>
          <w:color w:val="auto"/>
          <w:sz w:val="28"/>
          <w:szCs w:val="28"/>
        </w:rPr>
        <w:t xml:space="preserve">palielināt finansējumu </w:t>
      </w:r>
      <w:r w:rsidR="00C53C3C">
        <w:rPr>
          <w:color w:val="auto"/>
          <w:sz w:val="28"/>
          <w:szCs w:val="28"/>
        </w:rPr>
        <w:t xml:space="preserve">investīciju </w:t>
      </w:r>
      <w:r w:rsidR="00E81DED">
        <w:rPr>
          <w:color w:val="auto"/>
          <w:sz w:val="28"/>
          <w:szCs w:val="28"/>
        </w:rPr>
        <w:t>projektiem</w:t>
      </w:r>
      <w:r w:rsidR="00C53C3C">
        <w:rPr>
          <w:color w:val="auto"/>
          <w:sz w:val="28"/>
          <w:szCs w:val="28"/>
        </w:rPr>
        <w:t xml:space="preserve">, kas tiek </w:t>
      </w:r>
      <w:r w:rsidR="00E81DED">
        <w:rPr>
          <w:color w:val="auto"/>
          <w:sz w:val="28"/>
          <w:szCs w:val="28"/>
        </w:rPr>
        <w:t xml:space="preserve">īstenoti </w:t>
      </w:r>
      <w:r w:rsidR="00C53C3C">
        <w:rPr>
          <w:color w:val="auto"/>
          <w:sz w:val="28"/>
          <w:szCs w:val="28"/>
        </w:rPr>
        <w:t xml:space="preserve">no pašvaldības budžeta līdzekļiem, </w:t>
      </w:r>
      <w:r w:rsidR="00E81DED" w:rsidRPr="00E81DED">
        <w:rPr>
          <w:color w:val="auto"/>
          <w:sz w:val="28"/>
          <w:szCs w:val="28"/>
        </w:rPr>
        <w:t xml:space="preserve">ir nepieciešams izvērtēt pašvaldības kopējo investīciju programmu, kā prioritāti nosakot uzsākto projektu pabeigšanu. Nepieciešamības gadījumā pašvaldības </w:t>
      </w:r>
      <w:r w:rsidR="00C53C3C">
        <w:rPr>
          <w:color w:val="auto"/>
          <w:sz w:val="28"/>
          <w:szCs w:val="28"/>
        </w:rPr>
        <w:t xml:space="preserve">var izmantot 10.panta otrās daļas 6.punktā paredzēto iespēju aizņemties finanšu līdzekļus budžeta un finanšu vadībai ar atmaksas termiņu līdz trīs gadiem. </w:t>
      </w:r>
    </w:p>
    <w:p w14:paraId="2C5D401B" w14:textId="77777777" w:rsidR="00F875CB" w:rsidRDefault="00F875CB" w:rsidP="00F875CB">
      <w:pPr>
        <w:pStyle w:val="Default"/>
        <w:shd w:val="clear" w:color="auto" w:fill="FFFFFF" w:themeFill="background1"/>
        <w:ind w:firstLine="567"/>
        <w:jc w:val="both"/>
        <w:rPr>
          <w:color w:val="auto"/>
          <w:sz w:val="28"/>
          <w:szCs w:val="28"/>
        </w:rPr>
      </w:pPr>
    </w:p>
    <w:p w14:paraId="676C28E7" w14:textId="0B0B2E80" w:rsidR="00F926D1" w:rsidRDefault="00EB4BF9" w:rsidP="00F926D1">
      <w:pPr>
        <w:pStyle w:val="Default"/>
        <w:shd w:val="clear" w:color="auto" w:fill="FFFFFF" w:themeFill="background1"/>
        <w:ind w:left="720" w:hanging="720"/>
        <w:jc w:val="both"/>
        <w:rPr>
          <w:color w:val="auto"/>
          <w:sz w:val="32"/>
          <w:szCs w:val="32"/>
        </w:rPr>
      </w:pPr>
      <w:r>
        <w:rPr>
          <w:color w:val="548DD4" w:themeColor="text2" w:themeTint="99"/>
          <w:sz w:val="32"/>
          <w:szCs w:val="32"/>
        </w:rPr>
        <w:t>Secinājumi</w:t>
      </w:r>
    </w:p>
    <w:p w14:paraId="470396DA" w14:textId="6F92023C" w:rsidR="00EB4BF9" w:rsidRDefault="00EB4BF9" w:rsidP="00F926D1">
      <w:pPr>
        <w:pStyle w:val="Default"/>
        <w:shd w:val="clear" w:color="auto" w:fill="FFFFFF" w:themeFill="background1"/>
        <w:ind w:left="720" w:hanging="720"/>
        <w:jc w:val="both"/>
        <w:rPr>
          <w:color w:val="auto"/>
          <w:sz w:val="28"/>
          <w:szCs w:val="28"/>
        </w:rPr>
      </w:pPr>
    </w:p>
    <w:p w14:paraId="0E6DDB6B" w14:textId="7C679356" w:rsidR="00474276" w:rsidRPr="00B1118F" w:rsidRDefault="00785C64" w:rsidP="00FC7D07">
      <w:pPr>
        <w:pStyle w:val="Default"/>
        <w:numPr>
          <w:ilvl w:val="0"/>
          <w:numId w:val="22"/>
        </w:numPr>
        <w:shd w:val="clear" w:color="auto" w:fill="FFFFFF" w:themeFill="background1"/>
        <w:jc w:val="both"/>
        <w:rPr>
          <w:sz w:val="28"/>
          <w:szCs w:val="28"/>
        </w:rPr>
      </w:pPr>
      <w:r>
        <w:rPr>
          <w:color w:val="auto"/>
          <w:sz w:val="28"/>
          <w:szCs w:val="28"/>
        </w:rPr>
        <w:t>Krievijas k</w:t>
      </w:r>
      <w:r w:rsidR="00FC7D07">
        <w:rPr>
          <w:color w:val="auto"/>
          <w:sz w:val="28"/>
          <w:szCs w:val="28"/>
        </w:rPr>
        <w:t>aradarbības Ukrainā rezultātā radušies traucējumi izejvielu un būvizstrādājumu piegādēs, būvizstrādājumu nepieejamība un straujš ievērojams cenu kāpums var tikt uzskatīts par “</w:t>
      </w:r>
      <w:r w:rsidR="00FC7D07" w:rsidRPr="00FC7D07">
        <w:rPr>
          <w:color w:val="auto"/>
          <w:sz w:val="28"/>
          <w:szCs w:val="28"/>
        </w:rPr>
        <w:t>iemesl</w:t>
      </w:r>
      <w:r w:rsidR="00B1118F">
        <w:rPr>
          <w:color w:val="auto"/>
          <w:sz w:val="28"/>
          <w:szCs w:val="28"/>
        </w:rPr>
        <w:t>u</w:t>
      </w:r>
      <w:r w:rsidR="00FC7D07" w:rsidRPr="00FC7D07">
        <w:rPr>
          <w:color w:val="auto"/>
          <w:sz w:val="28"/>
          <w:szCs w:val="28"/>
        </w:rPr>
        <w:t>, kuru pasūtītājs iepriekš nevarēja paredzēt</w:t>
      </w:r>
      <w:r w:rsidR="00FC7D07">
        <w:rPr>
          <w:color w:val="auto"/>
          <w:sz w:val="28"/>
          <w:szCs w:val="28"/>
        </w:rPr>
        <w:t xml:space="preserve">” Publisko iepirkumu likuma 61.panta trešās daļas 3.punkta izpratnē, Sabiedrisko pakalpojumu sniedzēju iepirkuma likuma 66.panta </w:t>
      </w:r>
      <w:r w:rsidR="00FC7D07" w:rsidRPr="00FC7D07">
        <w:rPr>
          <w:color w:val="auto"/>
          <w:sz w:val="28"/>
          <w:szCs w:val="28"/>
        </w:rPr>
        <w:t>treš</w:t>
      </w:r>
      <w:r w:rsidR="00FC7D07">
        <w:rPr>
          <w:color w:val="auto"/>
          <w:sz w:val="28"/>
          <w:szCs w:val="28"/>
        </w:rPr>
        <w:t>ās</w:t>
      </w:r>
      <w:r w:rsidR="00FC7D07" w:rsidRPr="00FC7D07">
        <w:rPr>
          <w:color w:val="auto"/>
          <w:sz w:val="28"/>
          <w:szCs w:val="28"/>
        </w:rPr>
        <w:t xml:space="preserve"> daļ</w:t>
      </w:r>
      <w:r w:rsidR="00FC7D07">
        <w:rPr>
          <w:color w:val="auto"/>
          <w:sz w:val="28"/>
          <w:szCs w:val="28"/>
        </w:rPr>
        <w:t>as</w:t>
      </w:r>
      <w:r w:rsidR="004F7EF4">
        <w:rPr>
          <w:color w:val="auto"/>
          <w:sz w:val="28"/>
          <w:szCs w:val="28"/>
        </w:rPr>
        <w:t xml:space="preserve"> 3.punkta izpratnē</w:t>
      </w:r>
      <w:r w:rsidR="00FC7D07" w:rsidRPr="00FC7D07">
        <w:rPr>
          <w:color w:val="auto"/>
          <w:sz w:val="28"/>
          <w:szCs w:val="28"/>
        </w:rPr>
        <w:t xml:space="preserve"> un Publiskās un </w:t>
      </w:r>
      <w:r w:rsidR="00FC7D07">
        <w:rPr>
          <w:color w:val="auto"/>
          <w:sz w:val="28"/>
          <w:szCs w:val="28"/>
        </w:rPr>
        <w:t>P</w:t>
      </w:r>
      <w:r w:rsidR="00FC7D07" w:rsidRPr="00FC7D07">
        <w:rPr>
          <w:color w:val="auto"/>
          <w:sz w:val="28"/>
          <w:szCs w:val="28"/>
        </w:rPr>
        <w:t>rivātās partnerības likuma 63.panta trešās daļas 3.punkt</w:t>
      </w:r>
      <w:r w:rsidR="00FC7D07">
        <w:rPr>
          <w:color w:val="auto"/>
          <w:sz w:val="28"/>
          <w:szCs w:val="28"/>
        </w:rPr>
        <w:t>a</w:t>
      </w:r>
      <w:r w:rsidR="00FC7D07" w:rsidRPr="00FC7D07">
        <w:rPr>
          <w:color w:val="auto"/>
          <w:sz w:val="28"/>
          <w:szCs w:val="28"/>
        </w:rPr>
        <w:t xml:space="preserve"> </w:t>
      </w:r>
      <w:r w:rsidR="00FC7D07">
        <w:rPr>
          <w:color w:val="auto"/>
          <w:sz w:val="28"/>
          <w:szCs w:val="28"/>
        </w:rPr>
        <w:t xml:space="preserve">izpratnē, </w:t>
      </w:r>
      <w:r w:rsidR="00B1118F">
        <w:rPr>
          <w:color w:val="auto"/>
          <w:sz w:val="28"/>
          <w:szCs w:val="28"/>
        </w:rPr>
        <w:t>kas</w:t>
      </w:r>
      <w:r w:rsidR="00FC7D07">
        <w:rPr>
          <w:color w:val="auto"/>
          <w:sz w:val="28"/>
          <w:szCs w:val="28"/>
        </w:rPr>
        <w:t xml:space="preserve"> būtu uzskatām</w:t>
      </w:r>
      <w:r w:rsidR="00B1118F">
        <w:rPr>
          <w:color w:val="auto"/>
          <w:sz w:val="28"/>
          <w:szCs w:val="28"/>
        </w:rPr>
        <w:t>s</w:t>
      </w:r>
      <w:r w:rsidR="00FC7D07">
        <w:rPr>
          <w:color w:val="auto"/>
          <w:sz w:val="28"/>
          <w:szCs w:val="28"/>
        </w:rPr>
        <w:t xml:space="preserve"> par pietiekamu pamatu būtisko grozījumu veikšanai publiskajā būvdarbu līgumā. </w:t>
      </w:r>
    </w:p>
    <w:p w14:paraId="7D512431" w14:textId="1A920D99" w:rsidR="00B1118F" w:rsidRPr="00B10953" w:rsidRDefault="00B10953" w:rsidP="00FC7D07">
      <w:pPr>
        <w:pStyle w:val="Default"/>
        <w:numPr>
          <w:ilvl w:val="0"/>
          <w:numId w:val="22"/>
        </w:numPr>
        <w:shd w:val="clear" w:color="auto" w:fill="FFFFFF" w:themeFill="background1"/>
        <w:jc w:val="both"/>
        <w:rPr>
          <w:sz w:val="28"/>
          <w:szCs w:val="28"/>
        </w:rPr>
      </w:pPr>
      <w:r>
        <w:rPr>
          <w:color w:val="auto"/>
          <w:sz w:val="28"/>
          <w:szCs w:val="28"/>
        </w:rPr>
        <w:t xml:space="preserve">Būtiskie līguma grozījumi ir pieļaujami tikai pusēm vienojoties, turklāt, grozījumus var pamatot tikai, ja karadarbības rezultātā radusies izejvielu </w:t>
      </w:r>
      <w:r>
        <w:rPr>
          <w:color w:val="auto"/>
          <w:sz w:val="28"/>
          <w:szCs w:val="28"/>
        </w:rPr>
        <w:lastRenderedPageBreak/>
        <w:t>vai būvizstrādājumu nepieejamība vai straujš sadārdzinājums tiešā veidā ietekmē publiskā būvdarbu līguma saistību izpildi.</w:t>
      </w:r>
      <w:r w:rsidR="0032506C" w:rsidRPr="0032506C">
        <w:t xml:space="preserve"> </w:t>
      </w:r>
      <w:r w:rsidR="0032506C" w:rsidRPr="0032506C">
        <w:rPr>
          <w:color w:val="auto"/>
          <w:sz w:val="28"/>
          <w:szCs w:val="28"/>
        </w:rPr>
        <w:t>Ņemot vērā kopējo Eiropas Savienības normatīvo regulējumu publisko iepirkumu jomā, šobrīd nav iespējams ar grozījumiem ieviest līgumcenas indeksāciju noslēgtajos publiskos būvdarbu līgumos, kuros tā jau sākotnēji nav paredzēta.</w:t>
      </w:r>
    </w:p>
    <w:p w14:paraId="2272845D" w14:textId="4C67936E" w:rsidR="00B10953" w:rsidRPr="00163C4F" w:rsidRDefault="00B10953" w:rsidP="00FC7D07">
      <w:pPr>
        <w:pStyle w:val="Default"/>
        <w:numPr>
          <w:ilvl w:val="0"/>
          <w:numId w:val="22"/>
        </w:numPr>
        <w:shd w:val="clear" w:color="auto" w:fill="FFFFFF" w:themeFill="background1"/>
        <w:jc w:val="both"/>
        <w:rPr>
          <w:sz w:val="28"/>
          <w:szCs w:val="28"/>
        </w:rPr>
      </w:pPr>
      <w:r>
        <w:rPr>
          <w:color w:val="auto"/>
          <w:sz w:val="28"/>
          <w:szCs w:val="28"/>
        </w:rPr>
        <w:t>Pasūtītājam, vērtējot nepieciešamību veikt būtiskus grozījumus publiskajā būvdarbu līgumā, ir jā</w:t>
      </w:r>
      <w:r w:rsidR="00163C4F">
        <w:rPr>
          <w:color w:val="auto"/>
          <w:sz w:val="28"/>
          <w:szCs w:val="28"/>
        </w:rPr>
        <w:t xml:space="preserve">balstās uz samērīguma un izdevīguma principiem, proti, jāvērtē vai līguma grozījumi ir nepieciešami, lai varētu nodrošināt būvniecības ieceres īstenošanu, kā arī vai labums, ko pasūtītājs iegūst, veicot grozījumus, ir lielāks par riskiem, kas iestājas, ja grozījumi netiek veikti. </w:t>
      </w:r>
    </w:p>
    <w:p w14:paraId="3C8FCA36" w14:textId="286F7FF5" w:rsidR="00163C4F" w:rsidRPr="00FF2229" w:rsidRDefault="00C53C3C" w:rsidP="00FC7D07">
      <w:pPr>
        <w:pStyle w:val="Default"/>
        <w:numPr>
          <w:ilvl w:val="0"/>
          <w:numId w:val="22"/>
        </w:numPr>
        <w:shd w:val="clear" w:color="auto" w:fill="FFFFFF" w:themeFill="background1"/>
        <w:jc w:val="both"/>
        <w:rPr>
          <w:sz w:val="28"/>
          <w:szCs w:val="28"/>
        </w:rPr>
      </w:pPr>
      <w:r>
        <w:rPr>
          <w:color w:val="auto"/>
          <w:sz w:val="28"/>
          <w:szCs w:val="28"/>
        </w:rPr>
        <w:t xml:space="preserve">Līguma grozījumi ir iespējami tikai gadījuma, ja </w:t>
      </w:r>
      <w:r w:rsidR="00617BA2">
        <w:rPr>
          <w:color w:val="auto"/>
          <w:sz w:val="28"/>
          <w:szCs w:val="28"/>
        </w:rPr>
        <w:t xml:space="preserve">Krievijas </w:t>
      </w:r>
      <w:r>
        <w:rPr>
          <w:color w:val="auto"/>
          <w:sz w:val="28"/>
          <w:szCs w:val="28"/>
        </w:rPr>
        <w:t xml:space="preserve">karadarbības Ukrainā izraisītie izejvielu un būvizstrādājumu tirgus traucējumi tiešā veidā ietekmē publiskā būvdarbu līguma </w:t>
      </w:r>
      <w:r w:rsidR="00CD6B74">
        <w:rPr>
          <w:color w:val="auto"/>
          <w:sz w:val="28"/>
          <w:szCs w:val="28"/>
        </w:rPr>
        <w:t>saistību izpildi. Šajā gadījumā b</w:t>
      </w:r>
      <w:r w:rsidR="00163C4F">
        <w:rPr>
          <w:color w:val="auto"/>
          <w:sz w:val="28"/>
          <w:szCs w:val="28"/>
        </w:rPr>
        <w:t>ūvdarbu veicējam ir jāsniedz pasūtītājam pierādījumi karadarbības izraisīto izejvielu un būvizstrādājumu nepieejamības vai sadārdzinājuma tiešai ietekmei uz publiskā būvdarbu līguma saistību izpildi.</w:t>
      </w:r>
    </w:p>
    <w:p w14:paraId="09F1BD34" w14:textId="77777777" w:rsidR="00585CB0" w:rsidRDefault="004F7EF4" w:rsidP="000F31E5">
      <w:pPr>
        <w:pStyle w:val="Default"/>
        <w:numPr>
          <w:ilvl w:val="0"/>
          <w:numId w:val="22"/>
        </w:numPr>
        <w:shd w:val="clear" w:color="auto" w:fill="FFFFFF" w:themeFill="background1"/>
        <w:jc w:val="both"/>
        <w:rPr>
          <w:sz w:val="28"/>
          <w:szCs w:val="28"/>
        </w:rPr>
      </w:pPr>
      <w:r w:rsidRPr="004F7EF4">
        <w:rPr>
          <w:sz w:val="28"/>
          <w:szCs w:val="28"/>
        </w:rPr>
        <w:t>Būtisku līguma grozījumu veikšanas noteikumi var tikt piemēroti arī vēl nenoslēgtiem iepirkuma līgumiem, ja ir konstatējams objektīvs pamatojums, ka to izpildi ietekmē Krievijas militārās agresijas Ukrainā sekas</w:t>
      </w:r>
      <w:r>
        <w:rPr>
          <w:sz w:val="28"/>
          <w:szCs w:val="28"/>
        </w:rPr>
        <w:t>.</w:t>
      </w:r>
    </w:p>
    <w:p w14:paraId="2438F630" w14:textId="6D07E2AA" w:rsidR="00585CB0" w:rsidRPr="00585CB0" w:rsidRDefault="00585CB0" w:rsidP="000F31E5">
      <w:pPr>
        <w:pStyle w:val="Default"/>
        <w:numPr>
          <w:ilvl w:val="0"/>
          <w:numId w:val="22"/>
        </w:numPr>
        <w:shd w:val="clear" w:color="auto" w:fill="FFFFFF" w:themeFill="background1"/>
        <w:jc w:val="both"/>
        <w:rPr>
          <w:sz w:val="28"/>
          <w:szCs w:val="28"/>
        </w:rPr>
      </w:pPr>
      <w:r w:rsidRPr="00585CB0">
        <w:rPr>
          <w:sz w:val="28"/>
          <w:szCs w:val="28"/>
        </w:rPr>
        <w:t xml:space="preserve">Līguma grozījumos paredzot līgumcenas pārskatīšanu, pasūtītājam būs jānodrošina būvdarbu īstenošanai nepieciešamais papildu finansējums, </w:t>
      </w:r>
      <w:r w:rsidR="000F31E5">
        <w:rPr>
          <w:sz w:val="28"/>
          <w:szCs w:val="28"/>
        </w:rPr>
        <w:t xml:space="preserve">primāri </w:t>
      </w:r>
      <w:r w:rsidRPr="00585CB0">
        <w:rPr>
          <w:sz w:val="28"/>
          <w:szCs w:val="28"/>
        </w:rPr>
        <w:t>pārskatot citus projektus un aktivitātes</w:t>
      </w:r>
      <w:r w:rsidR="00ED3B36">
        <w:rPr>
          <w:sz w:val="28"/>
          <w:szCs w:val="28"/>
        </w:rPr>
        <w:t>, kā arī jaunu projektu uzsākšanas atlikšanu</w:t>
      </w:r>
      <w:r>
        <w:rPr>
          <w:sz w:val="28"/>
          <w:szCs w:val="28"/>
        </w:rPr>
        <w:t>.</w:t>
      </w:r>
      <w:r w:rsidR="000F31E5">
        <w:rPr>
          <w:sz w:val="28"/>
          <w:szCs w:val="28"/>
        </w:rPr>
        <w:t xml:space="preserve"> Nepieciešamības gadījumā vietējai pašvaldībai ir iespēja saņemt aizņēmumu atbilstoši likuma </w:t>
      </w:r>
      <w:r w:rsidR="000F31E5" w:rsidRPr="000F31E5">
        <w:rPr>
          <w:sz w:val="28"/>
          <w:szCs w:val="28"/>
        </w:rPr>
        <w:t>“Par valsts budžetu 2022. gadam”</w:t>
      </w:r>
      <w:r w:rsidR="000F31E5">
        <w:rPr>
          <w:sz w:val="28"/>
          <w:szCs w:val="28"/>
        </w:rPr>
        <w:t xml:space="preserve"> regulējumam. </w:t>
      </w:r>
    </w:p>
    <w:p w14:paraId="744ADA72" w14:textId="253500BE" w:rsidR="00743F31" w:rsidRPr="00163C4F" w:rsidRDefault="00743F31" w:rsidP="00FC7D07">
      <w:pPr>
        <w:pStyle w:val="Default"/>
        <w:numPr>
          <w:ilvl w:val="0"/>
          <w:numId w:val="22"/>
        </w:numPr>
        <w:shd w:val="clear" w:color="auto" w:fill="FFFFFF" w:themeFill="background1"/>
        <w:jc w:val="both"/>
        <w:rPr>
          <w:sz w:val="28"/>
          <w:szCs w:val="28"/>
        </w:rPr>
      </w:pPr>
      <w:r>
        <w:rPr>
          <w:color w:val="auto"/>
          <w:sz w:val="28"/>
          <w:szCs w:val="28"/>
        </w:rPr>
        <w:t xml:space="preserve">Lai nodrošinātu iespēju turpmāk elastīgi reaģēt uz </w:t>
      </w:r>
      <w:proofErr w:type="spellStart"/>
      <w:r>
        <w:rPr>
          <w:color w:val="auto"/>
          <w:sz w:val="28"/>
          <w:szCs w:val="28"/>
        </w:rPr>
        <w:t>turbulenci</w:t>
      </w:r>
      <w:proofErr w:type="spellEnd"/>
      <w:r>
        <w:rPr>
          <w:color w:val="auto"/>
          <w:sz w:val="28"/>
          <w:szCs w:val="28"/>
        </w:rPr>
        <w:t xml:space="preserve"> būvniecības tirgū, pasūtītājiem jau šobrīd ir jāvērtē nepieciešamība paredzēt līgumcenas indeksāciju jaunajos</w:t>
      </w:r>
      <w:r w:rsidR="004F7EF4" w:rsidRPr="004F7EF4">
        <w:t xml:space="preserve"> </w:t>
      </w:r>
      <w:r w:rsidR="004F7EF4" w:rsidRPr="004F7EF4">
        <w:rPr>
          <w:color w:val="auto"/>
          <w:sz w:val="28"/>
          <w:szCs w:val="28"/>
        </w:rPr>
        <w:t>publisko būvdarbu iepirkumu līgumprojektos</w:t>
      </w:r>
      <w:r w:rsidR="00585CB0">
        <w:rPr>
          <w:color w:val="auto"/>
          <w:sz w:val="28"/>
          <w:szCs w:val="28"/>
        </w:rPr>
        <w:t>, attiecīgi nodrošinot finanšu rezervi uzņemamo saistību izpildei visa līguma periodā</w:t>
      </w:r>
    </w:p>
    <w:p w14:paraId="758CF985" w14:textId="695A4F1B" w:rsidR="00B91C3D" w:rsidRPr="00CD5C18" w:rsidRDefault="00CD6B74" w:rsidP="00CD5C18">
      <w:pPr>
        <w:pStyle w:val="Default"/>
        <w:numPr>
          <w:ilvl w:val="0"/>
          <w:numId w:val="22"/>
        </w:numPr>
        <w:shd w:val="clear" w:color="auto" w:fill="FFFFFF" w:themeFill="background1"/>
        <w:jc w:val="both"/>
        <w:rPr>
          <w:sz w:val="28"/>
          <w:szCs w:val="28"/>
        </w:rPr>
      </w:pPr>
      <w:r>
        <w:rPr>
          <w:color w:val="auto"/>
          <w:sz w:val="28"/>
          <w:szCs w:val="28"/>
        </w:rPr>
        <w:t xml:space="preserve">Likuma “Par valsts budžetu 2022.gadam” regulējums ir pietiekams, lai nodrošinātu pašvaldībām iespēju saņemt Valsts kases aizņēmumu iesākto investīciju projektu sekmīgai un nepārtrauktai īstenošanai. </w:t>
      </w:r>
    </w:p>
    <w:sectPr w:rsidR="00B91C3D" w:rsidRPr="00CD5C18" w:rsidSect="001D08EC">
      <w:headerReference w:type="default" r:id="rId16"/>
      <w:footerReference w:type="default" r:id="rId17"/>
      <w:footerReference w:type="first" r:id="rId1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2D3F" w14:textId="77777777" w:rsidR="00B7199F" w:rsidRDefault="00B7199F">
      <w:r>
        <w:separator/>
      </w:r>
    </w:p>
  </w:endnote>
  <w:endnote w:type="continuationSeparator" w:id="0">
    <w:p w14:paraId="59C44383" w14:textId="77777777" w:rsidR="00B7199F" w:rsidRDefault="00B7199F">
      <w:r>
        <w:continuationSeparator/>
      </w:r>
    </w:p>
  </w:endnote>
  <w:endnote w:type="continuationNotice" w:id="1">
    <w:p w14:paraId="287EB7D2" w14:textId="77777777" w:rsidR="00B7199F" w:rsidRDefault="00B7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RobustaTLPro-Medium">
    <w:altName w:val="Cambri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2BB9" w14:textId="77777777" w:rsidR="004C0A8A" w:rsidRDefault="004C0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689B" w14:textId="1F433B90" w:rsidR="00B6506C" w:rsidRPr="00BE78B5" w:rsidRDefault="009A4E57" w:rsidP="00B6506C">
    <w:pPr>
      <w:rPr>
        <w:sz w:val="20"/>
        <w:szCs w:val="20"/>
      </w:rPr>
    </w:pPr>
    <w:r w:rsidRPr="00BE78B5">
      <w:rPr>
        <w:sz w:val="20"/>
        <w:szCs w:val="20"/>
      </w:rPr>
      <w:fldChar w:fldCharType="begin"/>
    </w:r>
    <w:r w:rsidR="00B6506C" w:rsidRPr="00BE78B5">
      <w:rPr>
        <w:sz w:val="20"/>
        <w:szCs w:val="20"/>
      </w:rPr>
      <w:instrText xml:space="preserve"> FILENAME  </w:instrText>
    </w:r>
    <w:r w:rsidRPr="00BE78B5">
      <w:rPr>
        <w:sz w:val="20"/>
        <w:szCs w:val="20"/>
      </w:rPr>
      <w:fldChar w:fldCharType="separate"/>
    </w:r>
    <w:r w:rsidR="00457BCC">
      <w:rPr>
        <w:noProof/>
        <w:sz w:val="20"/>
        <w:szCs w:val="20"/>
      </w:rPr>
      <w:t>EMZino_27032022_UKR.docx</w:t>
    </w:r>
    <w:r w:rsidRPr="00BE78B5">
      <w:rPr>
        <w:sz w:val="20"/>
        <w:szCs w:val="20"/>
      </w:rPr>
      <w:fldChar w:fldCharType="end"/>
    </w:r>
    <w:r w:rsidR="00B6506C" w:rsidRPr="00BE78B5">
      <w:rPr>
        <w:sz w:val="20"/>
        <w:szCs w:val="20"/>
      </w:rPr>
      <w:t>; Informatīvais ziņojums par vadlīnijām būvniecības izmaksu indeksācijai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33C0" w14:textId="77777777" w:rsidR="00B7199F" w:rsidRDefault="00B7199F">
      <w:r>
        <w:separator/>
      </w:r>
    </w:p>
  </w:footnote>
  <w:footnote w:type="continuationSeparator" w:id="0">
    <w:p w14:paraId="2E9CED97" w14:textId="77777777" w:rsidR="00B7199F" w:rsidRDefault="00B7199F">
      <w:r>
        <w:continuationSeparator/>
      </w:r>
    </w:p>
  </w:footnote>
  <w:footnote w:type="continuationNotice" w:id="1">
    <w:p w14:paraId="01675013" w14:textId="77777777" w:rsidR="00B7199F" w:rsidRDefault="00B7199F"/>
  </w:footnote>
  <w:footnote w:id="2">
    <w:p w14:paraId="243A4520" w14:textId="10B28755" w:rsidR="0046456E" w:rsidRDefault="0046456E">
      <w:pPr>
        <w:pStyle w:val="FootnoteText"/>
      </w:pPr>
      <w:r>
        <w:rPr>
          <w:rStyle w:val="FootnoteReference"/>
        </w:rPr>
        <w:footnoteRef/>
      </w:r>
      <w:r>
        <w:t xml:space="preserve"> </w:t>
      </w:r>
      <w:r w:rsidRPr="0046456E">
        <w:t>https://stat.gov.lv/lv/statistikas-temas/valsts-ekonomika/razotaju-cenas/preses-relizes/8209-buvniecibas-izmaksu-parmainas?themeCode=BU</w:t>
      </w:r>
    </w:p>
  </w:footnote>
  <w:footnote w:id="3">
    <w:p w14:paraId="127BEAFD" w14:textId="0C8F0469" w:rsidR="006275EC" w:rsidRDefault="006275EC">
      <w:pPr>
        <w:pStyle w:val="FootnoteText"/>
      </w:pPr>
      <w:r>
        <w:rPr>
          <w:rStyle w:val="FootnoteReference"/>
        </w:rPr>
        <w:footnoteRef/>
      </w:r>
      <w:r>
        <w:t xml:space="preserve"> </w:t>
      </w:r>
      <w:r>
        <w:t>Centrālās statistikas pārvaldes dati</w:t>
      </w:r>
    </w:p>
  </w:footnote>
  <w:footnote w:id="4">
    <w:p w14:paraId="1BB5567D" w14:textId="1A1A8AF7" w:rsidR="006275EC" w:rsidRDefault="006275EC">
      <w:pPr>
        <w:pStyle w:val="FootnoteText"/>
      </w:pPr>
      <w:r>
        <w:rPr>
          <w:rStyle w:val="FootnoteReference"/>
        </w:rPr>
        <w:footnoteRef/>
      </w:r>
      <w:r>
        <w:t xml:space="preserve"> </w:t>
      </w:r>
      <w:r>
        <w:t>Centrālās statistikas pārvaldes dati</w:t>
      </w:r>
    </w:p>
  </w:footnote>
  <w:footnote w:id="5">
    <w:p w14:paraId="3A7F53D1" w14:textId="3B2B00FE" w:rsidR="004F5192" w:rsidRDefault="004F5192">
      <w:pPr>
        <w:pStyle w:val="FootnoteText"/>
      </w:pPr>
      <w:r>
        <w:rPr>
          <w:rStyle w:val="FootnoteReference"/>
        </w:rPr>
        <w:footnoteRef/>
      </w:r>
      <w:r>
        <w:t xml:space="preserve"> </w:t>
      </w:r>
      <w:hyperlink r:id="rId1" w:history="1">
        <w:r w:rsidRPr="00B50D1B">
          <w:rPr>
            <w:rStyle w:val="Hyperlink"/>
          </w:rPr>
          <w:t>https://www.iub.gov.lv/lv/media/6611/download</w:t>
        </w:r>
      </w:hyperlink>
    </w:p>
  </w:footnote>
  <w:footnote w:id="6">
    <w:p w14:paraId="45D14D90" w14:textId="77777777" w:rsidR="00EA7C63" w:rsidRPr="00274F46" w:rsidRDefault="00EA7C63" w:rsidP="00EA7C63">
      <w:pPr>
        <w:pStyle w:val="FootnoteText"/>
      </w:pPr>
      <w:r w:rsidRPr="008F19B4">
        <w:rPr>
          <w:rStyle w:val="FootnoteReference"/>
        </w:rPr>
        <w:footnoteRef/>
      </w:r>
      <w:r w:rsidRPr="008F19B4">
        <w:t xml:space="preserve"> </w:t>
      </w:r>
      <w:r w:rsidRPr="008F19B4">
        <w:t>10.12.2018.</w:t>
      </w:r>
      <w:r w:rsidRPr="00274F46">
        <w:t xml:space="preserve"> </w:t>
      </w:r>
      <w:r w:rsidRPr="00B43538">
        <w:rPr>
          <w:color w:val="000000"/>
          <w:shd w:val="clear" w:color="auto" w:fill="F7F6FC"/>
        </w:rPr>
        <w:t>Skaidrojums par sadārdzinājumu ES fondu projektos;</w:t>
      </w:r>
      <w:r w:rsidRPr="00B43538">
        <w:rPr>
          <w:rFonts w:ascii="Arial" w:hAnsi="Arial" w:cs="Arial"/>
          <w:color w:val="000000"/>
          <w:shd w:val="clear" w:color="auto" w:fill="F7F6FC"/>
        </w:rPr>
        <w:t xml:space="preserve"> </w:t>
      </w:r>
      <w:r w:rsidRPr="008F19B4">
        <w:t>https://www.esfondi.l</w:t>
      </w:r>
      <w:r w:rsidRPr="00274F46">
        <w:t>v/upload/Vadlinijas/izmaksu-sadardzinajums_vi-skaidrojums_10.12.18.pdf</w:t>
      </w:r>
    </w:p>
  </w:footnote>
  <w:footnote w:id="7">
    <w:p w14:paraId="47B61ABF" w14:textId="77777777" w:rsidR="00ED6C43" w:rsidRPr="00AB21D8" w:rsidRDefault="00ED6C43" w:rsidP="00ED6C43">
      <w:pPr>
        <w:pStyle w:val="FootnoteText"/>
        <w:rPr>
          <w:sz w:val="18"/>
          <w:szCs w:val="18"/>
        </w:rPr>
      </w:pPr>
      <w:r w:rsidRPr="00AB21D8">
        <w:rPr>
          <w:rStyle w:val="FootnoteReference"/>
          <w:sz w:val="18"/>
          <w:szCs w:val="18"/>
        </w:rPr>
        <w:footnoteRef/>
      </w:r>
      <w:r w:rsidRPr="00AB21D8">
        <w:rPr>
          <w:sz w:val="18"/>
          <w:szCs w:val="18"/>
        </w:rPr>
        <w:t xml:space="preserve"> </w:t>
      </w:r>
      <w:r w:rsidRPr="00AB21D8">
        <w:rPr>
          <w:sz w:val="18"/>
          <w:szCs w:val="18"/>
        </w:rPr>
        <w:t xml:space="preserve">EIROPAS PARLAMENTA UN PADOMES REGULA (ES) Nr.1303/2013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r w:rsidRPr="00AB21D8">
        <w:rPr>
          <w:b/>
          <w:bCs/>
          <w:sz w:val="18"/>
          <w:szCs w:val="18"/>
        </w:rPr>
        <w:t>65.panta 4.p</w:t>
      </w:r>
      <w:r w:rsidRPr="00AB21D8">
        <w:rPr>
          <w:sz w:val="18"/>
          <w:szCs w:val="18"/>
        </w:rPr>
        <w:t xml:space="preserve">. - </w:t>
      </w:r>
      <w:r w:rsidRPr="006F0008">
        <w:rPr>
          <w:sz w:val="18"/>
          <w:szCs w:val="18"/>
        </w:rPr>
        <w:t>Attiecībā uz izmaksām, kas tiek atlīdzinātas, pamatojoties uz 67. panta 1. punkta pirmās daļas b) un c) apakšpunktu, darbības, kas veido atlīdzināšanas pamatu, veic laikposmā no 2014. gada 1. janvāra līdz 2023. gada 31. Decembrim.</w:t>
      </w:r>
    </w:p>
  </w:footnote>
  <w:footnote w:id="8">
    <w:p w14:paraId="4A8FAA9B" w14:textId="77777777" w:rsidR="002E261D" w:rsidRPr="00FC57F1" w:rsidRDefault="002E261D" w:rsidP="006F0008">
      <w:pPr>
        <w:pStyle w:val="FootnoteText"/>
        <w:jc w:val="both"/>
        <w:rPr>
          <w:sz w:val="18"/>
          <w:szCs w:val="18"/>
        </w:rPr>
      </w:pPr>
      <w:r w:rsidRPr="00FC57F1">
        <w:rPr>
          <w:rStyle w:val="FootnoteReference"/>
          <w:sz w:val="18"/>
          <w:szCs w:val="18"/>
        </w:rPr>
        <w:footnoteRef/>
      </w:r>
      <w:r w:rsidRPr="00FC57F1">
        <w:rPr>
          <w:sz w:val="18"/>
          <w:szCs w:val="18"/>
        </w:rPr>
        <w:t xml:space="preserve"> </w:t>
      </w:r>
      <w:r w:rsidRPr="00FC57F1">
        <w:rPr>
          <w:sz w:val="18"/>
          <w:szCs w:val="18"/>
        </w:rPr>
        <w:t>KOMISIJAS PAZIŅOJUMS Vadlīnijas par to darbības programmu slēgšanu, kuras pieņemtas atbalsta saņemšanai no Eiropas Reģionālās attīstības fonda, Eiropas Sociālā fonda, Kohēzijas fonda un Eiropas Jūrlietu un zivsaimniecības fonda (2014.–2020. gada periodā); (2021/C 417/01)</w:t>
      </w:r>
    </w:p>
  </w:footnote>
  <w:footnote w:id="9">
    <w:p w14:paraId="230487C6" w14:textId="238E04B1" w:rsidR="003A38DC" w:rsidRPr="00A31E77" w:rsidRDefault="003A38DC" w:rsidP="00A31E77">
      <w:pPr>
        <w:pStyle w:val="Default"/>
        <w:jc w:val="both"/>
        <w:rPr>
          <w:sz w:val="20"/>
          <w:szCs w:val="20"/>
        </w:rPr>
      </w:pPr>
      <w:r w:rsidRPr="00A31E77">
        <w:rPr>
          <w:rStyle w:val="FootnoteReference"/>
          <w:sz w:val="20"/>
          <w:szCs w:val="20"/>
        </w:rPr>
        <w:footnoteRef/>
      </w:r>
      <w:r w:rsidRPr="00A31E77">
        <w:rPr>
          <w:sz w:val="20"/>
          <w:szCs w:val="20"/>
        </w:rPr>
        <w:t xml:space="preserve"> </w:t>
      </w:r>
      <w:r w:rsidRPr="00A31E77">
        <w:rPr>
          <w:sz w:val="20"/>
          <w:szCs w:val="20"/>
        </w:rPr>
        <w:t xml:space="preserve">Centrālā finanšu un līgumu aģentūra jau </w:t>
      </w:r>
      <w:proofErr w:type="spellStart"/>
      <w:r w:rsidRPr="00A31E77">
        <w:rPr>
          <w:sz w:val="20"/>
          <w:szCs w:val="20"/>
        </w:rPr>
        <w:t>proaktīvi</w:t>
      </w:r>
      <w:proofErr w:type="spellEnd"/>
      <w:r>
        <w:rPr>
          <w:sz w:val="20"/>
          <w:szCs w:val="20"/>
        </w:rPr>
        <w:t xml:space="preserve"> apkopo no finansējuma saņēmējiem, kas ir būvniecības projektu īstenotāji, informāciju par situāciju, riskiem, nepieciešamo atbalstu, un notiek darbs pie iespējamiem risinājumiem. Kopumā projektu īstenotāji vēl paši nav pilnībā apzinājuši konkrēto ietekmi, sagaidāms, ka jautājums attīstīsies un lielāka skaidrība par konkrētu ietekmi finanšu un termiņu ziņā vēl tikai</w:t>
      </w:r>
      <w:r w:rsidR="002276F2">
        <w:rPr>
          <w:sz w:val="20"/>
          <w:szCs w:val="20"/>
        </w:rPr>
        <w:t xml:space="preserve"> radīsies laika gaitā. </w:t>
      </w:r>
    </w:p>
    <w:p w14:paraId="45BBAAA6" w14:textId="7FD98500" w:rsidR="003A38DC" w:rsidRPr="003A38DC" w:rsidRDefault="003A38DC" w:rsidP="003A38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04771"/>
      <w:docPartObj>
        <w:docPartGallery w:val="Page Numbers (Top of Page)"/>
        <w:docPartUnique/>
      </w:docPartObj>
    </w:sdtPr>
    <w:sdtEndPr/>
    <w:sdtContent>
      <w:p w14:paraId="6858326A" w14:textId="77777777" w:rsidR="001D08EC" w:rsidRDefault="009A4E57">
        <w:pPr>
          <w:pStyle w:val="Header"/>
          <w:jc w:val="center"/>
        </w:pPr>
        <w:r>
          <w:fldChar w:fldCharType="begin"/>
        </w:r>
        <w:r w:rsidR="00AA3A3D">
          <w:instrText xml:space="preserve"> PAGE   \* MERGEFORMAT </w:instrText>
        </w:r>
        <w:r>
          <w:fldChar w:fldCharType="separate"/>
        </w:r>
        <w:r w:rsidR="002C4DBF">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DB9"/>
    <w:multiLevelType w:val="hybridMultilevel"/>
    <w:tmpl w:val="548E38B2"/>
    <w:lvl w:ilvl="0" w:tplc="DFB01162">
      <w:start w:val="1"/>
      <w:numFmt w:val="bullet"/>
      <w:lvlText w:val="–"/>
      <w:lvlJc w:val="left"/>
      <w:pPr>
        <w:ind w:left="1346" w:hanging="360"/>
      </w:pPr>
      <w:rPr>
        <w:rFonts w:ascii="Times New Roman" w:hAnsi="Times New Roman" w:cs="Times New Roman" w:hint="default"/>
      </w:rPr>
    </w:lvl>
    <w:lvl w:ilvl="1" w:tplc="04260003" w:tentative="1">
      <w:start w:val="1"/>
      <w:numFmt w:val="bullet"/>
      <w:lvlText w:val="o"/>
      <w:lvlJc w:val="left"/>
      <w:pPr>
        <w:ind w:left="2066" w:hanging="360"/>
      </w:pPr>
      <w:rPr>
        <w:rFonts w:ascii="Courier New" w:hAnsi="Courier New" w:cs="Courier New" w:hint="default"/>
      </w:rPr>
    </w:lvl>
    <w:lvl w:ilvl="2" w:tplc="04260005" w:tentative="1">
      <w:start w:val="1"/>
      <w:numFmt w:val="bullet"/>
      <w:lvlText w:val=""/>
      <w:lvlJc w:val="left"/>
      <w:pPr>
        <w:ind w:left="2786" w:hanging="360"/>
      </w:pPr>
      <w:rPr>
        <w:rFonts w:ascii="Wingdings" w:hAnsi="Wingdings" w:hint="default"/>
      </w:rPr>
    </w:lvl>
    <w:lvl w:ilvl="3" w:tplc="04260001" w:tentative="1">
      <w:start w:val="1"/>
      <w:numFmt w:val="bullet"/>
      <w:lvlText w:val=""/>
      <w:lvlJc w:val="left"/>
      <w:pPr>
        <w:ind w:left="3506" w:hanging="360"/>
      </w:pPr>
      <w:rPr>
        <w:rFonts w:ascii="Symbol" w:hAnsi="Symbol" w:hint="default"/>
      </w:rPr>
    </w:lvl>
    <w:lvl w:ilvl="4" w:tplc="04260003" w:tentative="1">
      <w:start w:val="1"/>
      <w:numFmt w:val="bullet"/>
      <w:lvlText w:val="o"/>
      <w:lvlJc w:val="left"/>
      <w:pPr>
        <w:ind w:left="4226" w:hanging="360"/>
      </w:pPr>
      <w:rPr>
        <w:rFonts w:ascii="Courier New" w:hAnsi="Courier New" w:cs="Courier New" w:hint="default"/>
      </w:rPr>
    </w:lvl>
    <w:lvl w:ilvl="5" w:tplc="04260005" w:tentative="1">
      <w:start w:val="1"/>
      <w:numFmt w:val="bullet"/>
      <w:lvlText w:val=""/>
      <w:lvlJc w:val="left"/>
      <w:pPr>
        <w:ind w:left="4946" w:hanging="360"/>
      </w:pPr>
      <w:rPr>
        <w:rFonts w:ascii="Wingdings" w:hAnsi="Wingdings" w:hint="default"/>
      </w:rPr>
    </w:lvl>
    <w:lvl w:ilvl="6" w:tplc="04260001" w:tentative="1">
      <w:start w:val="1"/>
      <w:numFmt w:val="bullet"/>
      <w:lvlText w:val=""/>
      <w:lvlJc w:val="left"/>
      <w:pPr>
        <w:ind w:left="5666" w:hanging="360"/>
      </w:pPr>
      <w:rPr>
        <w:rFonts w:ascii="Symbol" w:hAnsi="Symbol" w:hint="default"/>
      </w:rPr>
    </w:lvl>
    <w:lvl w:ilvl="7" w:tplc="04260003" w:tentative="1">
      <w:start w:val="1"/>
      <w:numFmt w:val="bullet"/>
      <w:lvlText w:val="o"/>
      <w:lvlJc w:val="left"/>
      <w:pPr>
        <w:ind w:left="6386" w:hanging="360"/>
      </w:pPr>
      <w:rPr>
        <w:rFonts w:ascii="Courier New" w:hAnsi="Courier New" w:cs="Courier New" w:hint="default"/>
      </w:rPr>
    </w:lvl>
    <w:lvl w:ilvl="8" w:tplc="04260005" w:tentative="1">
      <w:start w:val="1"/>
      <w:numFmt w:val="bullet"/>
      <w:lvlText w:val=""/>
      <w:lvlJc w:val="left"/>
      <w:pPr>
        <w:ind w:left="7106" w:hanging="360"/>
      </w:pPr>
      <w:rPr>
        <w:rFonts w:ascii="Wingdings" w:hAnsi="Wingdings" w:hint="default"/>
      </w:rPr>
    </w:lvl>
  </w:abstractNum>
  <w:abstractNum w:abstractNumId="1" w15:restartNumberingAfterBreak="0">
    <w:nsid w:val="03021CCC"/>
    <w:multiLevelType w:val="hybridMultilevel"/>
    <w:tmpl w:val="5896E27E"/>
    <w:lvl w:ilvl="0" w:tplc="82D0EE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613420"/>
    <w:multiLevelType w:val="hybridMultilevel"/>
    <w:tmpl w:val="737CD4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135365"/>
    <w:multiLevelType w:val="hybridMultilevel"/>
    <w:tmpl w:val="86225B2A"/>
    <w:lvl w:ilvl="0" w:tplc="4544D60E">
      <w:start w:val="1"/>
      <w:numFmt w:val="bullet"/>
      <w:lvlText w:val="-"/>
      <w:lvlJc w:val="left"/>
      <w:pPr>
        <w:ind w:left="430" w:hanging="360"/>
      </w:pPr>
      <w:rPr>
        <w:rFonts w:ascii="Times New Roman" w:eastAsia="Times New Roman" w:hAnsi="Times New Roman" w:cs="Times New Roman" w:hint="default"/>
      </w:rPr>
    </w:lvl>
    <w:lvl w:ilvl="1" w:tplc="04260003" w:tentative="1">
      <w:start w:val="1"/>
      <w:numFmt w:val="bullet"/>
      <w:lvlText w:val="o"/>
      <w:lvlJc w:val="left"/>
      <w:pPr>
        <w:ind w:left="1150" w:hanging="360"/>
      </w:pPr>
      <w:rPr>
        <w:rFonts w:ascii="Courier New" w:hAnsi="Courier New" w:cs="Courier New" w:hint="default"/>
      </w:rPr>
    </w:lvl>
    <w:lvl w:ilvl="2" w:tplc="04260005" w:tentative="1">
      <w:start w:val="1"/>
      <w:numFmt w:val="bullet"/>
      <w:lvlText w:val=""/>
      <w:lvlJc w:val="left"/>
      <w:pPr>
        <w:ind w:left="1870" w:hanging="360"/>
      </w:pPr>
      <w:rPr>
        <w:rFonts w:ascii="Wingdings" w:hAnsi="Wingdings" w:hint="default"/>
      </w:rPr>
    </w:lvl>
    <w:lvl w:ilvl="3" w:tplc="04260001" w:tentative="1">
      <w:start w:val="1"/>
      <w:numFmt w:val="bullet"/>
      <w:lvlText w:val=""/>
      <w:lvlJc w:val="left"/>
      <w:pPr>
        <w:ind w:left="2590" w:hanging="360"/>
      </w:pPr>
      <w:rPr>
        <w:rFonts w:ascii="Symbol" w:hAnsi="Symbol" w:hint="default"/>
      </w:rPr>
    </w:lvl>
    <w:lvl w:ilvl="4" w:tplc="04260003" w:tentative="1">
      <w:start w:val="1"/>
      <w:numFmt w:val="bullet"/>
      <w:lvlText w:val="o"/>
      <w:lvlJc w:val="left"/>
      <w:pPr>
        <w:ind w:left="3310" w:hanging="360"/>
      </w:pPr>
      <w:rPr>
        <w:rFonts w:ascii="Courier New" w:hAnsi="Courier New" w:cs="Courier New" w:hint="default"/>
      </w:rPr>
    </w:lvl>
    <w:lvl w:ilvl="5" w:tplc="04260005" w:tentative="1">
      <w:start w:val="1"/>
      <w:numFmt w:val="bullet"/>
      <w:lvlText w:val=""/>
      <w:lvlJc w:val="left"/>
      <w:pPr>
        <w:ind w:left="4030" w:hanging="360"/>
      </w:pPr>
      <w:rPr>
        <w:rFonts w:ascii="Wingdings" w:hAnsi="Wingdings" w:hint="default"/>
      </w:rPr>
    </w:lvl>
    <w:lvl w:ilvl="6" w:tplc="04260001" w:tentative="1">
      <w:start w:val="1"/>
      <w:numFmt w:val="bullet"/>
      <w:lvlText w:val=""/>
      <w:lvlJc w:val="left"/>
      <w:pPr>
        <w:ind w:left="4750" w:hanging="360"/>
      </w:pPr>
      <w:rPr>
        <w:rFonts w:ascii="Symbol" w:hAnsi="Symbol" w:hint="default"/>
      </w:rPr>
    </w:lvl>
    <w:lvl w:ilvl="7" w:tplc="04260003" w:tentative="1">
      <w:start w:val="1"/>
      <w:numFmt w:val="bullet"/>
      <w:lvlText w:val="o"/>
      <w:lvlJc w:val="left"/>
      <w:pPr>
        <w:ind w:left="5470" w:hanging="360"/>
      </w:pPr>
      <w:rPr>
        <w:rFonts w:ascii="Courier New" w:hAnsi="Courier New" w:cs="Courier New" w:hint="default"/>
      </w:rPr>
    </w:lvl>
    <w:lvl w:ilvl="8" w:tplc="04260005" w:tentative="1">
      <w:start w:val="1"/>
      <w:numFmt w:val="bullet"/>
      <w:lvlText w:val=""/>
      <w:lvlJc w:val="left"/>
      <w:pPr>
        <w:ind w:left="6190" w:hanging="360"/>
      </w:pPr>
      <w:rPr>
        <w:rFonts w:ascii="Wingdings" w:hAnsi="Wingdings" w:hint="default"/>
      </w:rPr>
    </w:lvl>
  </w:abstractNum>
  <w:abstractNum w:abstractNumId="4" w15:restartNumberingAfterBreak="0">
    <w:nsid w:val="0B770D5F"/>
    <w:multiLevelType w:val="hybridMultilevel"/>
    <w:tmpl w:val="6D9C8058"/>
    <w:lvl w:ilvl="0" w:tplc="DFB01162">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68366CD"/>
    <w:multiLevelType w:val="hybridMultilevel"/>
    <w:tmpl w:val="3B6E3F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A4576F0"/>
    <w:multiLevelType w:val="hybridMultilevel"/>
    <w:tmpl w:val="3E80396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1B677B2D"/>
    <w:multiLevelType w:val="hybridMultilevel"/>
    <w:tmpl w:val="A49681F0"/>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D5B2A"/>
    <w:multiLevelType w:val="hybridMultilevel"/>
    <w:tmpl w:val="90EE9E74"/>
    <w:lvl w:ilvl="0" w:tplc="63ECE8D6">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25A1D1E"/>
    <w:multiLevelType w:val="hybridMultilevel"/>
    <w:tmpl w:val="67FC8AA0"/>
    <w:lvl w:ilvl="0" w:tplc="DFB01162">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32F10E25"/>
    <w:multiLevelType w:val="hybridMultilevel"/>
    <w:tmpl w:val="14986B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9918E3"/>
    <w:multiLevelType w:val="hybridMultilevel"/>
    <w:tmpl w:val="59E4E4DC"/>
    <w:lvl w:ilvl="0" w:tplc="219A8BA2">
      <w:start w:val="20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9D0F0C"/>
    <w:multiLevelType w:val="hybridMultilevel"/>
    <w:tmpl w:val="D94859B8"/>
    <w:lvl w:ilvl="0" w:tplc="DFB01162">
      <w:start w:val="1"/>
      <w:numFmt w:val="bullet"/>
      <w:lvlText w:val="–"/>
      <w:lvlJc w:val="left"/>
      <w:pPr>
        <w:ind w:left="1854" w:hanging="360"/>
      </w:pPr>
      <w:rPr>
        <w:rFonts w:ascii="Times New Roman" w:hAnsi="Times New Roman" w:cs="Times New Roman"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3" w15:restartNumberingAfterBreak="0">
    <w:nsid w:val="42BD1B13"/>
    <w:multiLevelType w:val="hybridMultilevel"/>
    <w:tmpl w:val="CE9AA58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44512AD7"/>
    <w:multiLevelType w:val="hybridMultilevel"/>
    <w:tmpl w:val="FF46A8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D6F6F53"/>
    <w:multiLevelType w:val="hybridMultilevel"/>
    <w:tmpl w:val="406E2A3C"/>
    <w:lvl w:ilvl="0" w:tplc="30187AC0">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4FDE3D4B"/>
    <w:multiLevelType w:val="hybridMultilevel"/>
    <w:tmpl w:val="6352A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A50E63"/>
    <w:multiLevelType w:val="hybridMultilevel"/>
    <w:tmpl w:val="3C7EF918"/>
    <w:lvl w:ilvl="0" w:tplc="1D3A98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1451AFE"/>
    <w:multiLevelType w:val="hybridMultilevel"/>
    <w:tmpl w:val="2F5C689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0F3A70"/>
    <w:multiLevelType w:val="hybridMultilevel"/>
    <w:tmpl w:val="4F6A2F22"/>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72BB4EE4"/>
    <w:multiLevelType w:val="hybridMultilevel"/>
    <w:tmpl w:val="785257C8"/>
    <w:lvl w:ilvl="0" w:tplc="DFB01162">
      <w:start w:val="1"/>
      <w:numFmt w:val="bullet"/>
      <w:lvlText w:val="–"/>
      <w:lvlJc w:val="left"/>
      <w:pPr>
        <w:ind w:left="1346" w:hanging="360"/>
      </w:pPr>
      <w:rPr>
        <w:rFonts w:ascii="Times New Roman" w:hAnsi="Times New Roman" w:cs="Times New Roman" w:hint="default"/>
      </w:rPr>
    </w:lvl>
    <w:lvl w:ilvl="1" w:tplc="04260003" w:tentative="1">
      <w:start w:val="1"/>
      <w:numFmt w:val="bullet"/>
      <w:lvlText w:val="o"/>
      <w:lvlJc w:val="left"/>
      <w:pPr>
        <w:ind w:left="2066" w:hanging="360"/>
      </w:pPr>
      <w:rPr>
        <w:rFonts w:ascii="Courier New" w:hAnsi="Courier New" w:cs="Courier New" w:hint="default"/>
      </w:rPr>
    </w:lvl>
    <w:lvl w:ilvl="2" w:tplc="04260005" w:tentative="1">
      <w:start w:val="1"/>
      <w:numFmt w:val="bullet"/>
      <w:lvlText w:val=""/>
      <w:lvlJc w:val="left"/>
      <w:pPr>
        <w:ind w:left="2786" w:hanging="360"/>
      </w:pPr>
      <w:rPr>
        <w:rFonts w:ascii="Wingdings" w:hAnsi="Wingdings" w:hint="default"/>
      </w:rPr>
    </w:lvl>
    <w:lvl w:ilvl="3" w:tplc="04260001" w:tentative="1">
      <w:start w:val="1"/>
      <w:numFmt w:val="bullet"/>
      <w:lvlText w:val=""/>
      <w:lvlJc w:val="left"/>
      <w:pPr>
        <w:ind w:left="3506" w:hanging="360"/>
      </w:pPr>
      <w:rPr>
        <w:rFonts w:ascii="Symbol" w:hAnsi="Symbol" w:hint="default"/>
      </w:rPr>
    </w:lvl>
    <w:lvl w:ilvl="4" w:tplc="04260003" w:tentative="1">
      <w:start w:val="1"/>
      <w:numFmt w:val="bullet"/>
      <w:lvlText w:val="o"/>
      <w:lvlJc w:val="left"/>
      <w:pPr>
        <w:ind w:left="4226" w:hanging="360"/>
      </w:pPr>
      <w:rPr>
        <w:rFonts w:ascii="Courier New" w:hAnsi="Courier New" w:cs="Courier New" w:hint="default"/>
      </w:rPr>
    </w:lvl>
    <w:lvl w:ilvl="5" w:tplc="04260005" w:tentative="1">
      <w:start w:val="1"/>
      <w:numFmt w:val="bullet"/>
      <w:lvlText w:val=""/>
      <w:lvlJc w:val="left"/>
      <w:pPr>
        <w:ind w:left="4946" w:hanging="360"/>
      </w:pPr>
      <w:rPr>
        <w:rFonts w:ascii="Wingdings" w:hAnsi="Wingdings" w:hint="default"/>
      </w:rPr>
    </w:lvl>
    <w:lvl w:ilvl="6" w:tplc="04260001" w:tentative="1">
      <w:start w:val="1"/>
      <w:numFmt w:val="bullet"/>
      <w:lvlText w:val=""/>
      <w:lvlJc w:val="left"/>
      <w:pPr>
        <w:ind w:left="5666" w:hanging="360"/>
      </w:pPr>
      <w:rPr>
        <w:rFonts w:ascii="Symbol" w:hAnsi="Symbol" w:hint="default"/>
      </w:rPr>
    </w:lvl>
    <w:lvl w:ilvl="7" w:tplc="04260003" w:tentative="1">
      <w:start w:val="1"/>
      <w:numFmt w:val="bullet"/>
      <w:lvlText w:val="o"/>
      <w:lvlJc w:val="left"/>
      <w:pPr>
        <w:ind w:left="6386" w:hanging="360"/>
      </w:pPr>
      <w:rPr>
        <w:rFonts w:ascii="Courier New" w:hAnsi="Courier New" w:cs="Courier New" w:hint="default"/>
      </w:rPr>
    </w:lvl>
    <w:lvl w:ilvl="8" w:tplc="04260005" w:tentative="1">
      <w:start w:val="1"/>
      <w:numFmt w:val="bullet"/>
      <w:lvlText w:val=""/>
      <w:lvlJc w:val="left"/>
      <w:pPr>
        <w:ind w:left="7106" w:hanging="360"/>
      </w:pPr>
      <w:rPr>
        <w:rFonts w:ascii="Wingdings" w:hAnsi="Wingdings" w:hint="default"/>
      </w:rPr>
    </w:lvl>
  </w:abstractNum>
  <w:abstractNum w:abstractNumId="21" w15:restartNumberingAfterBreak="0">
    <w:nsid w:val="73265315"/>
    <w:multiLevelType w:val="hybridMultilevel"/>
    <w:tmpl w:val="4202AFB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7BFC3C39"/>
    <w:multiLevelType w:val="hybridMultilevel"/>
    <w:tmpl w:val="4B1A9822"/>
    <w:lvl w:ilvl="0" w:tplc="30187AC0">
      <w:start w:val="1"/>
      <w:numFmt w:val="bullet"/>
      <w:lvlText w:val="–"/>
      <w:lvlJc w:val="left"/>
      <w:pPr>
        <w:ind w:left="1287" w:hanging="360"/>
      </w:pPr>
      <w:rPr>
        <w:rFonts w:ascii="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7E3D3695"/>
    <w:multiLevelType w:val="hybridMultilevel"/>
    <w:tmpl w:val="46E2BC40"/>
    <w:lvl w:ilvl="0" w:tplc="DFB0116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9"/>
  </w:num>
  <w:num w:numId="4">
    <w:abstractNumId w:val="4"/>
  </w:num>
  <w:num w:numId="5">
    <w:abstractNumId w:val="13"/>
  </w:num>
  <w:num w:numId="6">
    <w:abstractNumId w:val="6"/>
  </w:num>
  <w:num w:numId="7">
    <w:abstractNumId w:val="0"/>
  </w:num>
  <w:num w:numId="8">
    <w:abstractNumId w:val="20"/>
  </w:num>
  <w:num w:numId="9">
    <w:abstractNumId w:val="5"/>
  </w:num>
  <w:num w:numId="10">
    <w:abstractNumId w:val="12"/>
  </w:num>
  <w:num w:numId="11">
    <w:abstractNumId w:val="23"/>
  </w:num>
  <w:num w:numId="12">
    <w:abstractNumId w:val="22"/>
  </w:num>
  <w:num w:numId="13">
    <w:abstractNumId w:val="15"/>
  </w:num>
  <w:num w:numId="14">
    <w:abstractNumId w:val="11"/>
  </w:num>
  <w:num w:numId="15">
    <w:abstractNumId w:val="10"/>
  </w:num>
  <w:num w:numId="16">
    <w:abstractNumId w:val="14"/>
  </w:num>
  <w:num w:numId="17">
    <w:abstractNumId w:val="1"/>
  </w:num>
  <w:num w:numId="18">
    <w:abstractNumId w:val="3"/>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A2"/>
    <w:rsid w:val="00002E01"/>
    <w:rsid w:val="00003A35"/>
    <w:rsid w:val="000104B1"/>
    <w:rsid w:val="00010DA5"/>
    <w:rsid w:val="00011209"/>
    <w:rsid w:val="00013CA4"/>
    <w:rsid w:val="000232FB"/>
    <w:rsid w:val="00035CB3"/>
    <w:rsid w:val="000404C3"/>
    <w:rsid w:val="00044DE9"/>
    <w:rsid w:val="000463C0"/>
    <w:rsid w:val="000619F7"/>
    <w:rsid w:val="00065F5E"/>
    <w:rsid w:val="00073191"/>
    <w:rsid w:val="00082449"/>
    <w:rsid w:val="00085614"/>
    <w:rsid w:val="0008646B"/>
    <w:rsid w:val="000907E3"/>
    <w:rsid w:val="000A0ED2"/>
    <w:rsid w:val="000A5D6C"/>
    <w:rsid w:val="000B7FD7"/>
    <w:rsid w:val="000C1191"/>
    <w:rsid w:val="000C4CCB"/>
    <w:rsid w:val="000C63BB"/>
    <w:rsid w:val="000D03ED"/>
    <w:rsid w:val="000D288F"/>
    <w:rsid w:val="000D4322"/>
    <w:rsid w:val="000E7B9D"/>
    <w:rsid w:val="000F0BA0"/>
    <w:rsid w:val="000F31E5"/>
    <w:rsid w:val="000F4EB0"/>
    <w:rsid w:val="000F525A"/>
    <w:rsid w:val="000F5F2E"/>
    <w:rsid w:val="00100147"/>
    <w:rsid w:val="00112C19"/>
    <w:rsid w:val="001252DB"/>
    <w:rsid w:val="001328B4"/>
    <w:rsid w:val="00150727"/>
    <w:rsid w:val="00156FA2"/>
    <w:rsid w:val="00163C4F"/>
    <w:rsid w:val="0016511B"/>
    <w:rsid w:val="00166822"/>
    <w:rsid w:val="00167A30"/>
    <w:rsid w:val="001863F0"/>
    <w:rsid w:val="00186620"/>
    <w:rsid w:val="00191DC2"/>
    <w:rsid w:val="001A2321"/>
    <w:rsid w:val="001A55AD"/>
    <w:rsid w:val="001A6483"/>
    <w:rsid w:val="001A698B"/>
    <w:rsid w:val="001B0AD3"/>
    <w:rsid w:val="001C0045"/>
    <w:rsid w:val="001C0780"/>
    <w:rsid w:val="001C3EA7"/>
    <w:rsid w:val="001C4040"/>
    <w:rsid w:val="001C769E"/>
    <w:rsid w:val="001D08EC"/>
    <w:rsid w:val="001D244D"/>
    <w:rsid w:val="001D7F25"/>
    <w:rsid w:val="001E0636"/>
    <w:rsid w:val="001E0BC8"/>
    <w:rsid w:val="001E5220"/>
    <w:rsid w:val="001F373F"/>
    <w:rsid w:val="001F6E7D"/>
    <w:rsid w:val="00215515"/>
    <w:rsid w:val="002225C5"/>
    <w:rsid w:val="002228A4"/>
    <w:rsid w:val="002276F2"/>
    <w:rsid w:val="002506D2"/>
    <w:rsid w:val="00254D81"/>
    <w:rsid w:val="00257A37"/>
    <w:rsid w:val="00260B1F"/>
    <w:rsid w:val="002641CB"/>
    <w:rsid w:val="00272ADD"/>
    <w:rsid w:val="00274BA2"/>
    <w:rsid w:val="00274F46"/>
    <w:rsid w:val="00276F59"/>
    <w:rsid w:val="0028353E"/>
    <w:rsid w:val="002904B3"/>
    <w:rsid w:val="00292409"/>
    <w:rsid w:val="002A7434"/>
    <w:rsid w:val="002A7ED6"/>
    <w:rsid w:val="002B35DD"/>
    <w:rsid w:val="002B3737"/>
    <w:rsid w:val="002C4C5D"/>
    <w:rsid w:val="002C4DBF"/>
    <w:rsid w:val="002D02E9"/>
    <w:rsid w:val="002D2122"/>
    <w:rsid w:val="002E261D"/>
    <w:rsid w:val="002F7D8C"/>
    <w:rsid w:val="00303327"/>
    <w:rsid w:val="003051B1"/>
    <w:rsid w:val="003077EB"/>
    <w:rsid w:val="00310B33"/>
    <w:rsid w:val="00313CE2"/>
    <w:rsid w:val="003154CC"/>
    <w:rsid w:val="003203F4"/>
    <w:rsid w:val="003224D7"/>
    <w:rsid w:val="0032506C"/>
    <w:rsid w:val="00326FA1"/>
    <w:rsid w:val="0033212F"/>
    <w:rsid w:val="003321A9"/>
    <w:rsid w:val="003340C3"/>
    <w:rsid w:val="00350502"/>
    <w:rsid w:val="00351C75"/>
    <w:rsid w:val="00353657"/>
    <w:rsid w:val="00354C80"/>
    <w:rsid w:val="00371122"/>
    <w:rsid w:val="00380285"/>
    <w:rsid w:val="00381660"/>
    <w:rsid w:val="00396643"/>
    <w:rsid w:val="003A38DC"/>
    <w:rsid w:val="003D0E13"/>
    <w:rsid w:val="003D339C"/>
    <w:rsid w:val="003D3B4A"/>
    <w:rsid w:val="003D5665"/>
    <w:rsid w:val="003E076C"/>
    <w:rsid w:val="003E150C"/>
    <w:rsid w:val="003E5D71"/>
    <w:rsid w:val="003E6997"/>
    <w:rsid w:val="003F091B"/>
    <w:rsid w:val="003F562D"/>
    <w:rsid w:val="003F76A0"/>
    <w:rsid w:val="00400B9E"/>
    <w:rsid w:val="00404863"/>
    <w:rsid w:val="00405637"/>
    <w:rsid w:val="0041444A"/>
    <w:rsid w:val="00415411"/>
    <w:rsid w:val="00416A9A"/>
    <w:rsid w:val="00417AAA"/>
    <w:rsid w:val="00431CF5"/>
    <w:rsid w:val="0044555E"/>
    <w:rsid w:val="004526D0"/>
    <w:rsid w:val="00457BCC"/>
    <w:rsid w:val="00462016"/>
    <w:rsid w:val="0046456E"/>
    <w:rsid w:val="00474276"/>
    <w:rsid w:val="004A6423"/>
    <w:rsid w:val="004A7AB6"/>
    <w:rsid w:val="004B22E0"/>
    <w:rsid w:val="004C0A8A"/>
    <w:rsid w:val="004C3085"/>
    <w:rsid w:val="004E2721"/>
    <w:rsid w:val="004E5996"/>
    <w:rsid w:val="004F14D5"/>
    <w:rsid w:val="004F5192"/>
    <w:rsid w:val="004F5E01"/>
    <w:rsid w:val="004F7EF4"/>
    <w:rsid w:val="0050635F"/>
    <w:rsid w:val="0051316A"/>
    <w:rsid w:val="00514A9A"/>
    <w:rsid w:val="00514E45"/>
    <w:rsid w:val="005209F7"/>
    <w:rsid w:val="00523006"/>
    <w:rsid w:val="005337F3"/>
    <w:rsid w:val="00534F22"/>
    <w:rsid w:val="00552E7D"/>
    <w:rsid w:val="005557CC"/>
    <w:rsid w:val="00556025"/>
    <w:rsid w:val="00562549"/>
    <w:rsid w:val="005657DB"/>
    <w:rsid w:val="00570869"/>
    <w:rsid w:val="005708F1"/>
    <w:rsid w:val="00571453"/>
    <w:rsid w:val="00571F35"/>
    <w:rsid w:val="00577029"/>
    <w:rsid w:val="00582705"/>
    <w:rsid w:val="00585CB0"/>
    <w:rsid w:val="005903E0"/>
    <w:rsid w:val="005A5477"/>
    <w:rsid w:val="005A562B"/>
    <w:rsid w:val="005C1C2F"/>
    <w:rsid w:val="005D60E6"/>
    <w:rsid w:val="005E09EB"/>
    <w:rsid w:val="005E0F7B"/>
    <w:rsid w:val="005E268E"/>
    <w:rsid w:val="005F3DDE"/>
    <w:rsid w:val="00614656"/>
    <w:rsid w:val="006179FF"/>
    <w:rsid w:val="00617BA2"/>
    <w:rsid w:val="006275EC"/>
    <w:rsid w:val="00632A24"/>
    <w:rsid w:val="00632BD7"/>
    <w:rsid w:val="00647E1A"/>
    <w:rsid w:val="00667384"/>
    <w:rsid w:val="00671C54"/>
    <w:rsid w:val="00673975"/>
    <w:rsid w:val="006766AD"/>
    <w:rsid w:val="00696074"/>
    <w:rsid w:val="0069650A"/>
    <w:rsid w:val="006A0D11"/>
    <w:rsid w:val="006A7FA6"/>
    <w:rsid w:val="006C30CA"/>
    <w:rsid w:val="006E3D66"/>
    <w:rsid w:val="006F0008"/>
    <w:rsid w:val="006F2AC5"/>
    <w:rsid w:val="00703EF6"/>
    <w:rsid w:val="00710ECA"/>
    <w:rsid w:val="00712502"/>
    <w:rsid w:val="0072145A"/>
    <w:rsid w:val="00721FDD"/>
    <w:rsid w:val="00724857"/>
    <w:rsid w:val="007279A6"/>
    <w:rsid w:val="007325D6"/>
    <w:rsid w:val="00733014"/>
    <w:rsid w:val="00735A58"/>
    <w:rsid w:val="00743F31"/>
    <w:rsid w:val="00750379"/>
    <w:rsid w:val="00761B4E"/>
    <w:rsid w:val="00763CCF"/>
    <w:rsid w:val="00780507"/>
    <w:rsid w:val="00785C64"/>
    <w:rsid w:val="00792423"/>
    <w:rsid w:val="0079399E"/>
    <w:rsid w:val="007A7F7A"/>
    <w:rsid w:val="007C035F"/>
    <w:rsid w:val="007C30C5"/>
    <w:rsid w:val="007C65E0"/>
    <w:rsid w:val="007D1617"/>
    <w:rsid w:val="007D5F8F"/>
    <w:rsid w:val="007D7C3B"/>
    <w:rsid w:val="007E314D"/>
    <w:rsid w:val="007F7282"/>
    <w:rsid w:val="0080103B"/>
    <w:rsid w:val="00802493"/>
    <w:rsid w:val="00805312"/>
    <w:rsid w:val="0082345F"/>
    <w:rsid w:val="008241A9"/>
    <w:rsid w:val="0083723C"/>
    <w:rsid w:val="0084260C"/>
    <w:rsid w:val="00852C4C"/>
    <w:rsid w:val="00863333"/>
    <w:rsid w:val="00863938"/>
    <w:rsid w:val="00863D08"/>
    <w:rsid w:val="00867091"/>
    <w:rsid w:val="00890A47"/>
    <w:rsid w:val="00896ED0"/>
    <w:rsid w:val="008974BC"/>
    <w:rsid w:val="008A4980"/>
    <w:rsid w:val="008B0E68"/>
    <w:rsid w:val="008B3380"/>
    <w:rsid w:val="008B494C"/>
    <w:rsid w:val="008B4BDD"/>
    <w:rsid w:val="008B72B1"/>
    <w:rsid w:val="008D7671"/>
    <w:rsid w:val="008E3609"/>
    <w:rsid w:val="008E724C"/>
    <w:rsid w:val="008E75FD"/>
    <w:rsid w:val="008F19B4"/>
    <w:rsid w:val="008F2FF9"/>
    <w:rsid w:val="008F33B7"/>
    <w:rsid w:val="008F5B6F"/>
    <w:rsid w:val="00900561"/>
    <w:rsid w:val="00912308"/>
    <w:rsid w:val="009123F9"/>
    <w:rsid w:val="0091287B"/>
    <w:rsid w:val="0091636E"/>
    <w:rsid w:val="0092111E"/>
    <w:rsid w:val="00935AEB"/>
    <w:rsid w:val="00937713"/>
    <w:rsid w:val="00943019"/>
    <w:rsid w:val="00946C15"/>
    <w:rsid w:val="009530DD"/>
    <w:rsid w:val="009566A7"/>
    <w:rsid w:val="00965940"/>
    <w:rsid w:val="00966476"/>
    <w:rsid w:val="00973D3E"/>
    <w:rsid w:val="0097406B"/>
    <w:rsid w:val="00974D8D"/>
    <w:rsid w:val="00983DAD"/>
    <w:rsid w:val="009863B7"/>
    <w:rsid w:val="00987A0B"/>
    <w:rsid w:val="00994501"/>
    <w:rsid w:val="00995776"/>
    <w:rsid w:val="00996F1C"/>
    <w:rsid w:val="009A1318"/>
    <w:rsid w:val="009A215A"/>
    <w:rsid w:val="009A4E57"/>
    <w:rsid w:val="009B29C4"/>
    <w:rsid w:val="009B68FC"/>
    <w:rsid w:val="009D0376"/>
    <w:rsid w:val="009D15BA"/>
    <w:rsid w:val="009E1872"/>
    <w:rsid w:val="009E463B"/>
    <w:rsid w:val="009F35C6"/>
    <w:rsid w:val="009F62DC"/>
    <w:rsid w:val="00A02070"/>
    <w:rsid w:val="00A038CF"/>
    <w:rsid w:val="00A162DE"/>
    <w:rsid w:val="00A24DFF"/>
    <w:rsid w:val="00A30129"/>
    <w:rsid w:val="00A30D15"/>
    <w:rsid w:val="00A31E77"/>
    <w:rsid w:val="00A32132"/>
    <w:rsid w:val="00A33996"/>
    <w:rsid w:val="00A36B83"/>
    <w:rsid w:val="00A3787B"/>
    <w:rsid w:val="00A56DD5"/>
    <w:rsid w:val="00A571FB"/>
    <w:rsid w:val="00A61171"/>
    <w:rsid w:val="00A7328B"/>
    <w:rsid w:val="00A736F2"/>
    <w:rsid w:val="00A7622B"/>
    <w:rsid w:val="00A82650"/>
    <w:rsid w:val="00A84617"/>
    <w:rsid w:val="00A86A37"/>
    <w:rsid w:val="00A9099A"/>
    <w:rsid w:val="00A9542A"/>
    <w:rsid w:val="00AA3A3D"/>
    <w:rsid w:val="00AB0D44"/>
    <w:rsid w:val="00AC16F2"/>
    <w:rsid w:val="00AD1C65"/>
    <w:rsid w:val="00AE1C4A"/>
    <w:rsid w:val="00AE397B"/>
    <w:rsid w:val="00AF2F29"/>
    <w:rsid w:val="00B00EC3"/>
    <w:rsid w:val="00B10953"/>
    <w:rsid w:val="00B10C9B"/>
    <w:rsid w:val="00B1118F"/>
    <w:rsid w:val="00B1137A"/>
    <w:rsid w:val="00B15FAD"/>
    <w:rsid w:val="00B16748"/>
    <w:rsid w:val="00B23A23"/>
    <w:rsid w:val="00B23F4E"/>
    <w:rsid w:val="00B26B54"/>
    <w:rsid w:val="00B41311"/>
    <w:rsid w:val="00B43538"/>
    <w:rsid w:val="00B439BC"/>
    <w:rsid w:val="00B56A93"/>
    <w:rsid w:val="00B56D13"/>
    <w:rsid w:val="00B64EE9"/>
    <w:rsid w:val="00B6506C"/>
    <w:rsid w:val="00B7199F"/>
    <w:rsid w:val="00B91C3D"/>
    <w:rsid w:val="00B92165"/>
    <w:rsid w:val="00BB57CC"/>
    <w:rsid w:val="00BB66D7"/>
    <w:rsid w:val="00BB79B1"/>
    <w:rsid w:val="00BC2894"/>
    <w:rsid w:val="00BC6AD3"/>
    <w:rsid w:val="00BD1F3F"/>
    <w:rsid w:val="00BD71D7"/>
    <w:rsid w:val="00BE4684"/>
    <w:rsid w:val="00BE49AE"/>
    <w:rsid w:val="00BF18B4"/>
    <w:rsid w:val="00BF60E6"/>
    <w:rsid w:val="00BF7C57"/>
    <w:rsid w:val="00C054AA"/>
    <w:rsid w:val="00C079C1"/>
    <w:rsid w:val="00C07F96"/>
    <w:rsid w:val="00C24310"/>
    <w:rsid w:val="00C341E2"/>
    <w:rsid w:val="00C4006A"/>
    <w:rsid w:val="00C535CD"/>
    <w:rsid w:val="00C53C3C"/>
    <w:rsid w:val="00C54BF6"/>
    <w:rsid w:val="00C61F97"/>
    <w:rsid w:val="00C65F42"/>
    <w:rsid w:val="00C66CF3"/>
    <w:rsid w:val="00C967FA"/>
    <w:rsid w:val="00CA0857"/>
    <w:rsid w:val="00CA2919"/>
    <w:rsid w:val="00CA414B"/>
    <w:rsid w:val="00CA4FA9"/>
    <w:rsid w:val="00CB1DB1"/>
    <w:rsid w:val="00CB7E0E"/>
    <w:rsid w:val="00CC27A4"/>
    <w:rsid w:val="00CD5C18"/>
    <w:rsid w:val="00CD6B74"/>
    <w:rsid w:val="00CE341D"/>
    <w:rsid w:val="00CE5CA5"/>
    <w:rsid w:val="00CE6960"/>
    <w:rsid w:val="00D118A6"/>
    <w:rsid w:val="00D207AA"/>
    <w:rsid w:val="00D40C34"/>
    <w:rsid w:val="00D4596D"/>
    <w:rsid w:val="00D53ACA"/>
    <w:rsid w:val="00D54E23"/>
    <w:rsid w:val="00D7369A"/>
    <w:rsid w:val="00D76401"/>
    <w:rsid w:val="00D971A4"/>
    <w:rsid w:val="00DC28F4"/>
    <w:rsid w:val="00DE297D"/>
    <w:rsid w:val="00DF3CF4"/>
    <w:rsid w:val="00E13B4E"/>
    <w:rsid w:val="00E23847"/>
    <w:rsid w:val="00E31BD9"/>
    <w:rsid w:val="00E4570A"/>
    <w:rsid w:val="00E51311"/>
    <w:rsid w:val="00E574B9"/>
    <w:rsid w:val="00E65051"/>
    <w:rsid w:val="00E67E76"/>
    <w:rsid w:val="00E80E9C"/>
    <w:rsid w:val="00E8112E"/>
    <w:rsid w:val="00E81DED"/>
    <w:rsid w:val="00E861B0"/>
    <w:rsid w:val="00E94285"/>
    <w:rsid w:val="00E97947"/>
    <w:rsid w:val="00EA2F85"/>
    <w:rsid w:val="00EA7C63"/>
    <w:rsid w:val="00EB3F43"/>
    <w:rsid w:val="00EB4BF9"/>
    <w:rsid w:val="00EB5C92"/>
    <w:rsid w:val="00EC448B"/>
    <w:rsid w:val="00ED14D6"/>
    <w:rsid w:val="00ED3B36"/>
    <w:rsid w:val="00ED48F6"/>
    <w:rsid w:val="00ED6C43"/>
    <w:rsid w:val="00EE274E"/>
    <w:rsid w:val="00EF1FF0"/>
    <w:rsid w:val="00F13740"/>
    <w:rsid w:val="00F1532A"/>
    <w:rsid w:val="00F222A8"/>
    <w:rsid w:val="00F24FB8"/>
    <w:rsid w:val="00F30D04"/>
    <w:rsid w:val="00F34355"/>
    <w:rsid w:val="00F35C08"/>
    <w:rsid w:val="00F41471"/>
    <w:rsid w:val="00F42B1F"/>
    <w:rsid w:val="00F503C5"/>
    <w:rsid w:val="00F5458A"/>
    <w:rsid w:val="00F56A72"/>
    <w:rsid w:val="00F63100"/>
    <w:rsid w:val="00F7119F"/>
    <w:rsid w:val="00F80641"/>
    <w:rsid w:val="00F84AF9"/>
    <w:rsid w:val="00F84B1A"/>
    <w:rsid w:val="00F875CB"/>
    <w:rsid w:val="00F90F56"/>
    <w:rsid w:val="00F926D1"/>
    <w:rsid w:val="00F92E05"/>
    <w:rsid w:val="00FA0F6C"/>
    <w:rsid w:val="00FA5BB0"/>
    <w:rsid w:val="00FA6751"/>
    <w:rsid w:val="00FB1D6B"/>
    <w:rsid w:val="00FC7D07"/>
    <w:rsid w:val="00FD11B0"/>
    <w:rsid w:val="00FD68E1"/>
    <w:rsid w:val="00FE127D"/>
    <w:rsid w:val="00FE166E"/>
    <w:rsid w:val="00FE3F1F"/>
    <w:rsid w:val="00FE6416"/>
    <w:rsid w:val="00FF2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02E556"/>
  <w15:docId w15:val="{395C8933-A119-4B86-A4FE-6E8F6FD3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665"/>
    <w:rPr>
      <w:sz w:val="26"/>
      <w:lang w:eastAsia="en-US"/>
    </w:rPr>
  </w:style>
  <w:style w:type="paragraph" w:styleId="Heading1">
    <w:name w:val="heading 1"/>
    <w:basedOn w:val="Normal"/>
    <w:next w:val="Normal"/>
    <w:link w:val="Heading1Char"/>
    <w:qFormat/>
    <w:rsid w:val="003D56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3D56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B54"/>
    <w:pPr>
      <w:tabs>
        <w:tab w:val="center" w:pos="4153"/>
        <w:tab w:val="right" w:pos="8306"/>
      </w:tabs>
    </w:pPr>
  </w:style>
  <w:style w:type="paragraph" w:styleId="Footer">
    <w:name w:val="footer"/>
    <w:basedOn w:val="Normal"/>
    <w:link w:val="FooterChar"/>
    <w:uiPriority w:val="99"/>
    <w:rsid w:val="00B26B54"/>
    <w:pPr>
      <w:tabs>
        <w:tab w:val="center" w:pos="4153"/>
        <w:tab w:val="right" w:pos="8306"/>
      </w:tabs>
    </w:pPr>
  </w:style>
  <w:style w:type="paragraph" w:styleId="Subtitle">
    <w:name w:val="Subtitle"/>
    <w:basedOn w:val="Normal"/>
    <w:next w:val="Normal"/>
    <w:link w:val="SubtitleChar"/>
    <w:qFormat/>
    <w:rsid w:val="003D5665"/>
    <w:pPr>
      <w:keepNext/>
      <w:keepLines/>
      <w:widowControl w:val="0"/>
      <w:suppressAutoHyphens/>
      <w:spacing w:before="600" w:after="600"/>
      <w:ind w:right="4820"/>
    </w:pPr>
    <w:rPr>
      <w:b/>
      <w:sz w:val="24"/>
    </w:rPr>
  </w:style>
  <w:style w:type="paragraph" w:styleId="BodyText">
    <w:name w:val="Body Text"/>
    <w:basedOn w:val="Normal"/>
    <w:rsid w:val="00B26B54"/>
    <w:pPr>
      <w:widowControl w:val="0"/>
      <w:spacing w:before="60" w:after="60"/>
    </w:pPr>
    <w:rPr>
      <w:sz w:val="20"/>
    </w:rPr>
  </w:style>
  <w:style w:type="character" w:customStyle="1" w:styleId="Heading1Char">
    <w:name w:val="Heading 1 Char"/>
    <w:basedOn w:val="DefaultParagraphFont"/>
    <w:link w:val="Heading1"/>
    <w:rsid w:val="003D5665"/>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semiHidden/>
    <w:rsid w:val="003D5665"/>
    <w:rPr>
      <w:rFonts w:asciiTheme="majorHAnsi" w:eastAsiaTheme="majorEastAsia" w:hAnsiTheme="majorHAnsi" w:cstheme="majorBidi"/>
      <w:b/>
      <w:bCs/>
      <w:color w:val="4F81BD" w:themeColor="accent1"/>
      <w:sz w:val="26"/>
      <w:lang w:eastAsia="en-US"/>
    </w:rPr>
  </w:style>
  <w:style w:type="character" w:customStyle="1" w:styleId="SubtitleChar">
    <w:name w:val="Subtitle Char"/>
    <w:basedOn w:val="DefaultParagraphFont"/>
    <w:link w:val="Subtitle"/>
    <w:rsid w:val="003D5665"/>
    <w:rPr>
      <w:b/>
      <w:lang w:eastAsia="en-US"/>
    </w:rPr>
  </w:style>
  <w:style w:type="character" w:styleId="Strong">
    <w:name w:val="Strong"/>
    <w:basedOn w:val="DefaultParagraphFont"/>
    <w:qFormat/>
    <w:rsid w:val="003D5665"/>
    <w:rPr>
      <w:b/>
      <w:bCs/>
    </w:rPr>
  </w:style>
  <w:style w:type="character" w:styleId="Emphasis">
    <w:name w:val="Emphasis"/>
    <w:basedOn w:val="DefaultParagraphFont"/>
    <w:qFormat/>
    <w:rsid w:val="003D5665"/>
    <w:rPr>
      <w:i/>
      <w:iCs/>
    </w:rPr>
  </w:style>
  <w:style w:type="paragraph" w:styleId="ListParagraph">
    <w:name w:val="List Paragraph"/>
    <w:basedOn w:val="Normal"/>
    <w:uiPriority w:val="34"/>
    <w:qFormat/>
    <w:rsid w:val="003D5665"/>
    <w:pPr>
      <w:ind w:left="720"/>
      <w:contextualSpacing/>
    </w:pPr>
  </w:style>
  <w:style w:type="character" w:customStyle="1" w:styleId="FooterChar">
    <w:name w:val="Footer Char"/>
    <w:basedOn w:val="DefaultParagraphFont"/>
    <w:link w:val="Footer"/>
    <w:uiPriority w:val="99"/>
    <w:rsid w:val="001C4040"/>
    <w:rPr>
      <w:sz w:val="26"/>
      <w:lang w:eastAsia="en-US"/>
    </w:rPr>
  </w:style>
  <w:style w:type="paragraph" w:styleId="BalloonText">
    <w:name w:val="Balloon Text"/>
    <w:basedOn w:val="Normal"/>
    <w:link w:val="BalloonTextChar"/>
    <w:rsid w:val="00867091"/>
    <w:rPr>
      <w:rFonts w:ascii="Tahoma" w:hAnsi="Tahoma" w:cs="Tahoma"/>
      <w:sz w:val="16"/>
      <w:szCs w:val="16"/>
    </w:rPr>
  </w:style>
  <w:style w:type="character" w:customStyle="1" w:styleId="BalloonTextChar">
    <w:name w:val="Balloon Text Char"/>
    <w:basedOn w:val="DefaultParagraphFont"/>
    <w:link w:val="BalloonText"/>
    <w:rsid w:val="00867091"/>
    <w:rPr>
      <w:rFonts w:ascii="Tahoma" w:hAnsi="Tahoma" w:cs="Tahoma"/>
      <w:sz w:val="16"/>
      <w:szCs w:val="16"/>
      <w:lang w:eastAsia="en-US"/>
    </w:rPr>
  </w:style>
  <w:style w:type="paragraph" w:styleId="FootnoteText">
    <w:name w:val="footnote text"/>
    <w:basedOn w:val="Normal"/>
    <w:link w:val="FootnoteTextChar"/>
    <w:uiPriority w:val="99"/>
    <w:rsid w:val="00B1137A"/>
    <w:rPr>
      <w:sz w:val="20"/>
      <w:szCs w:val="20"/>
    </w:rPr>
  </w:style>
  <w:style w:type="character" w:customStyle="1" w:styleId="FootnoteTextChar">
    <w:name w:val="Footnote Text Char"/>
    <w:basedOn w:val="DefaultParagraphFont"/>
    <w:link w:val="FootnoteText"/>
    <w:uiPriority w:val="99"/>
    <w:rsid w:val="00B1137A"/>
    <w:rPr>
      <w:sz w:val="20"/>
      <w:szCs w:val="20"/>
      <w:lang w:eastAsia="en-US"/>
    </w:rPr>
  </w:style>
  <w:style w:type="character" w:styleId="FootnoteReference">
    <w:name w:val="footnote reference"/>
    <w:basedOn w:val="DefaultParagraphFont"/>
    <w:uiPriority w:val="99"/>
    <w:rsid w:val="00B1137A"/>
    <w:rPr>
      <w:vertAlign w:val="superscript"/>
    </w:rPr>
  </w:style>
  <w:style w:type="character" w:styleId="Hyperlink">
    <w:name w:val="Hyperlink"/>
    <w:basedOn w:val="DefaultParagraphFont"/>
    <w:rsid w:val="009D15BA"/>
    <w:rPr>
      <w:color w:val="0000FF" w:themeColor="hyperlink"/>
      <w:u w:val="single"/>
    </w:rPr>
  </w:style>
  <w:style w:type="character" w:customStyle="1" w:styleId="HeaderChar">
    <w:name w:val="Header Char"/>
    <w:basedOn w:val="DefaultParagraphFont"/>
    <w:link w:val="Header"/>
    <w:uiPriority w:val="99"/>
    <w:rsid w:val="001D08EC"/>
    <w:rPr>
      <w:sz w:val="26"/>
      <w:lang w:eastAsia="en-US"/>
    </w:rPr>
  </w:style>
  <w:style w:type="table" w:styleId="TableGrid">
    <w:name w:val="Table Grid"/>
    <w:basedOn w:val="TableNormal"/>
    <w:rsid w:val="00C05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F2F29"/>
    <w:rPr>
      <w:sz w:val="16"/>
      <w:szCs w:val="16"/>
    </w:rPr>
  </w:style>
  <w:style w:type="paragraph" w:styleId="CommentText">
    <w:name w:val="annotation text"/>
    <w:basedOn w:val="Normal"/>
    <w:link w:val="CommentTextChar"/>
    <w:unhideWhenUsed/>
    <w:rsid w:val="00AF2F29"/>
    <w:rPr>
      <w:sz w:val="20"/>
      <w:szCs w:val="20"/>
    </w:rPr>
  </w:style>
  <w:style w:type="character" w:customStyle="1" w:styleId="CommentTextChar">
    <w:name w:val="Comment Text Char"/>
    <w:basedOn w:val="DefaultParagraphFont"/>
    <w:link w:val="CommentText"/>
    <w:rsid w:val="00AF2F29"/>
    <w:rPr>
      <w:sz w:val="20"/>
      <w:szCs w:val="20"/>
      <w:lang w:eastAsia="en-US"/>
    </w:rPr>
  </w:style>
  <w:style w:type="paragraph" w:styleId="CommentSubject">
    <w:name w:val="annotation subject"/>
    <w:basedOn w:val="CommentText"/>
    <w:next w:val="CommentText"/>
    <w:link w:val="CommentSubjectChar"/>
    <w:semiHidden/>
    <w:unhideWhenUsed/>
    <w:rsid w:val="00AF2F29"/>
    <w:rPr>
      <w:b/>
      <w:bCs/>
    </w:rPr>
  </w:style>
  <w:style w:type="character" w:customStyle="1" w:styleId="CommentSubjectChar">
    <w:name w:val="Comment Subject Char"/>
    <w:basedOn w:val="CommentTextChar"/>
    <w:link w:val="CommentSubject"/>
    <w:semiHidden/>
    <w:rsid w:val="00AF2F29"/>
    <w:rPr>
      <w:b/>
      <w:bCs/>
      <w:sz w:val="20"/>
      <w:szCs w:val="20"/>
      <w:lang w:eastAsia="en-US"/>
    </w:rPr>
  </w:style>
  <w:style w:type="paragraph" w:customStyle="1" w:styleId="Default">
    <w:name w:val="Default"/>
    <w:rsid w:val="001B0AD3"/>
    <w:pPr>
      <w:autoSpaceDE w:val="0"/>
      <w:autoSpaceDN w:val="0"/>
      <w:adjustRightInd w:val="0"/>
    </w:pPr>
    <w:rPr>
      <w:color w:val="000000"/>
    </w:rPr>
  </w:style>
  <w:style w:type="character" w:customStyle="1" w:styleId="cf01">
    <w:name w:val="cf01"/>
    <w:basedOn w:val="DefaultParagraphFont"/>
    <w:rsid w:val="00BC2894"/>
    <w:rPr>
      <w:rFonts w:ascii="Segoe UI" w:hAnsi="Segoe UI" w:cs="Segoe UI" w:hint="default"/>
      <w:sz w:val="18"/>
      <w:szCs w:val="18"/>
    </w:rPr>
  </w:style>
  <w:style w:type="character" w:styleId="UnresolvedMention">
    <w:name w:val="Unresolved Mention"/>
    <w:basedOn w:val="DefaultParagraphFont"/>
    <w:uiPriority w:val="99"/>
    <w:semiHidden/>
    <w:unhideWhenUsed/>
    <w:rsid w:val="004F5192"/>
    <w:rPr>
      <w:color w:val="605E5C"/>
      <w:shd w:val="clear" w:color="auto" w:fill="E1DFDD"/>
    </w:rPr>
  </w:style>
  <w:style w:type="paragraph" w:styleId="Revision">
    <w:name w:val="Revision"/>
    <w:hidden/>
    <w:uiPriority w:val="99"/>
    <w:semiHidden/>
    <w:rsid w:val="004C0A8A"/>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ub.gov.lv/lv/jaunums/ligumu-vadiba-krizes-apstaklo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media/661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9A6E0A5577AAB64BBC02552CE6366509" ma:contentTypeVersion="15" ma:contentTypeDescription="Izveidot jaunu dokumentu." ma:contentTypeScope="" ma:versionID="ceb58de9804651d4693276a8070a0410">
  <xsd:schema xmlns:xsd="http://www.w3.org/2001/XMLSchema" xmlns:xs="http://www.w3.org/2001/XMLSchema" xmlns:p="http://schemas.microsoft.com/office/2006/metadata/properties" xmlns:ns1="http://schemas.microsoft.com/sharepoint/v3" xmlns:ns2="1bc3c780-2bb1-47eb-9d86-5e03f4973a45" xmlns:ns3="a69edea8-00eb-4580-9f73-f1910d8c677f" targetNamespace="http://schemas.microsoft.com/office/2006/metadata/properties" ma:root="true" ma:fieldsID="d74a7cacbd59c0ec595ee073a813aa7b" ns1:_="" ns2:_="" ns3:_="">
    <xsd:import namespace="http://schemas.microsoft.com/sharepoint/v3"/>
    <xsd:import namespace="1bc3c780-2bb1-47eb-9d86-5e03f4973a45"/>
    <xsd:import namespace="a69edea8-00eb-4580-9f73-f1910d8c67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Vienotās atbilstības politikas rekvizīti" ma:hidden="true" ma:internalName="_ip_UnifiedCompliancePolicyProperties">
      <xsd:simpleType>
        <xsd:restriction base="dms:Note"/>
      </xsd:simpleType>
    </xsd:element>
    <xsd:element name="_ip_UnifiedCompliancePolicyUIAction" ma:index="21"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3c780-2bb1-47eb-9d86-5e03f4973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9edea8-00eb-4580-9f73-f1910d8c677f"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DCC3C2B-56BD-4A6A-8FCA-73FB8618D1CF}">
  <ds:schemaRefs>
    <ds:schemaRef ds:uri="http://schemas.microsoft.com/sharepoint/v3/contenttype/forms"/>
  </ds:schemaRefs>
</ds:datastoreItem>
</file>

<file path=customXml/itemProps2.xml><?xml version="1.0" encoding="utf-8"?>
<ds:datastoreItem xmlns:ds="http://schemas.openxmlformats.org/officeDocument/2006/customXml" ds:itemID="{60D4E389-89DC-427D-9610-7DFA161F2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3c780-2bb1-47eb-9d86-5e03f4973a45"/>
    <ds:schemaRef ds:uri="a69edea8-00eb-4580-9f73-f1910d8c6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13CAF-4873-482A-B7CC-A5258FBE840C}">
  <ds:schemaRefs>
    <ds:schemaRef ds:uri="http://schemas.openxmlformats.org/officeDocument/2006/bibliography"/>
  </ds:schemaRefs>
</ds:datastoreItem>
</file>

<file path=customXml/itemProps4.xml><?xml version="1.0" encoding="utf-8"?>
<ds:datastoreItem xmlns:ds="http://schemas.openxmlformats.org/officeDocument/2006/customXml" ds:itemID="{70EC9F21-1A1A-4626-9581-4C57477DCB1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19931</Words>
  <Characters>11361</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Informatīvais ziņojums par vadlīnijām būvniecības izmaksu indeksācijai</vt:lpstr>
    </vt:vector>
  </TitlesOfParts>
  <Company>Ekonomikas ministrija</Company>
  <LinksUpToDate>false</LinksUpToDate>
  <CharactersWithSpaces>31230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vadlīnijām būvniecības izmaksu indeksācijai</dc:title>
  <dc:subject>Informatīvais ziņojums</dc:subject>
  <dc:creator>Gunta Piņķe</dc:creator>
  <cp:keywords/>
  <dc:description/>
  <cp:lastModifiedBy>Biedrība Latvijas ceļu būvētājs</cp:lastModifiedBy>
  <cp:revision>2</cp:revision>
  <cp:lastPrinted>2022-03-28T08:41:00Z</cp:lastPrinted>
  <dcterms:created xsi:type="dcterms:W3CDTF">2022-04-08T08:33:00Z</dcterms:created>
  <dcterms:modified xsi:type="dcterms:W3CDTF">2022-04-08T08:33:00Z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0x0101009A6E0A5577AAB64BBC02552CE6366509</vt:lpwstr>
  </property>
</Properties>
</file>